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54" w:line="646" w:lineRule="exact"/>
        <w:jc w:val="center"/>
        <w:rPr>
          <w:rFonts w:hint="eastAsia" w:ascii="黑体" w:hAnsi="黑体" w:eastAsia="黑体" w:cs="黑体"/>
          <w:b w:val="0"/>
          <w:bCs w:val="0"/>
          <w:color w:val="333333"/>
          <w:spacing w:val="1"/>
          <w:position w:val="20"/>
          <w:sz w:val="36"/>
          <w:szCs w:val="36"/>
          <w:lang w:val="en-US" w:eastAsia="zh-CN"/>
        </w:rPr>
      </w:pPr>
      <w:bookmarkStart w:id="3" w:name="_GoBack"/>
      <w:bookmarkEnd w:id="3"/>
      <w:r>
        <w:rPr>
          <w:rFonts w:hint="eastAsia" w:ascii="黑体" w:hAnsi="黑体" w:eastAsia="黑体" w:cs="黑体"/>
          <w:b w:val="0"/>
          <w:bCs w:val="0"/>
          <w:color w:val="333333"/>
          <w:spacing w:val="1"/>
          <w:position w:val="20"/>
          <w:sz w:val="36"/>
          <w:szCs w:val="36"/>
          <w:lang w:val="en-US" w:eastAsia="zh-CN"/>
        </w:rPr>
        <w:t>拟提名</w:t>
      </w:r>
      <w:r>
        <w:rPr>
          <w:rFonts w:hint="eastAsia" w:ascii="黑体" w:hAnsi="黑体" w:eastAsia="黑体" w:cs="黑体"/>
          <w:b w:val="0"/>
          <w:bCs w:val="0"/>
          <w:color w:val="333333"/>
          <w:spacing w:val="1"/>
          <w:position w:val="20"/>
          <w:sz w:val="36"/>
          <w:szCs w:val="36"/>
        </w:rPr>
        <w:t>20</w:t>
      </w:r>
      <w:r>
        <w:rPr>
          <w:rFonts w:hint="eastAsia" w:ascii="黑体" w:hAnsi="黑体" w:eastAsia="黑体" w:cs="黑体"/>
          <w:b w:val="0"/>
          <w:bCs w:val="0"/>
          <w:color w:val="333333"/>
          <w:position w:val="20"/>
          <w:sz w:val="36"/>
          <w:szCs w:val="36"/>
        </w:rPr>
        <w:t>2</w:t>
      </w:r>
      <w:r>
        <w:rPr>
          <w:rFonts w:hint="eastAsia" w:ascii="黑体" w:hAnsi="黑体" w:eastAsia="黑体" w:cs="黑体"/>
          <w:b w:val="0"/>
          <w:bCs w:val="0"/>
          <w:color w:val="333333"/>
          <w:position w:val="20"/>
          <w:sz w:val="36"/>
          <w:szCs w:val="36"/>
          <w:lang w:val="en-US" w:eastAsia="zh-CN"/>
        </w:rPr>
        <w:t>3</w:t>
      </w:r>
      <w:r>
        <w:rPr>
          <w:rFonts w:hint="eastAsia" w:ascii="黑体" w:hAnsi="黑体" w:eastAsia="黑体" w:cs="黑体"/>
          <w:b w:val="0"/>
          <w:bCs w:val="0"/>
          <w:color w:val="333333"/>
          <w:spacing w:val="1"/>
          <w:position w:val="20"/>
          <w:sz w:val="36"/>
          <w:szCs w:val="36"/>
          <w:lang w:val="en-US" w:eastAsia="zh-CN"/>
        </w:rPr>
        <w:t>年度云南省科技进步奖项目公示</w:t>
      </w:r>
    </w:p>
    <w:p>
      <w:pPr>
        <w:spacing w:line="336" w:lineRule="auto"/>
        <w:rPr>
          <w:rFonts w:ascii="Arial"/>
          <w:sz w:val="21"/>
        </w:rPr>
      </w:pPr>
    </w:p>
    <w:p>
      <w:pPr>
        <w:spacing w:line="336" w:lineRule="auto"/>
        <w:rPr>
          <w:rFonts w:ascii="Arial"/>
          <w:sz w:val="21"/>
        </w:rPr>
      </w:pPr>
    </w:p>
    <w:p>
      <w:pPr>
        <w:spacing w:before="91" w:line="219" w:lineRule="auto"/>
        <w:outlineLvl w:val="0"/>
        <w:rPr>
          <w:rFonts w:ascii="宋体" w:hAnsi="宋体" w:eastAsia="宋体" w:cs="宋体"/>
          <w:sz w:val="28"/>
          <w:szCs w:val="28"/>
        </w:rPr>
      </w:pPr>
      <w:r>
        <w:rPr>
          <w:rFonts w:ascii="宋体" w:hAnsi="宋体" w:eastAsia="宋体" w:cs="宋体"/>
          <w:color w:val="333333"/>
          <w:spacing w:val="-1"/>
          <w:sz w:val="28"/>
          <w:szCs w:val="28"/>
          <w14:textOutline w14:w="5094" w14:cap="flat" w14:cmpd="sng">
            <w14:solidFill>
              <w14:srgbClr w14:val="333333"/>
            </w14:solidFill>
            <w14:prstDash w14:val="solid"/>
            <w14:miter w14:val="0"/>
          </w14:textOutline>
        </w:rPr>
        <w:t>一、项目基本情</w:t>
      </w:r>
      <w:r>
        <w:rPr>
          <w:rFonts w:ascii="宋体" w:hAnsi="宋体" w:eastAsia="宋体" w:cs="宋体"/>
          <w:color w:val="333333"/>
          <w:sz w:val="28"/>
          <w:szCs w:val="28"/>
          <w14:textOutline w14:w="5094" w14:cap="flat" w14:cmpd="sng">
            <w14:solidFill>
              <w14:srgbClr w14:val="333333"/>
            </w14:solidFill>
            <w14:prstDash w14:val="solid"/>
            <w14:miter w14:val="0"/>
          </w14:textOutline>
        </w:rPr>
        <w:t>况</w:t>
      </w:r>
    </w:p>
    <w:p>
      <w:pPr>
        <w:spacing w:before="152" w:line="220" w:lineRule="auto"/>
        <w:ind w:firstLine="604" w:firstLineChars="200"/>
        <w:rPr>
          <w:rFonts w:hint="eastAsia" w:ascii="仿宋" w:hAnsi="仿宋" w:eastAsia="仿宋" w:cs="仿宋"/>
          <w:b w:val="0"/>
          <w:bCs w:val="0"/>
          <w:sz w:val="30"/>
          <w:szCs w:val="30"/>
        </w:rPr>
      </w:pPr>
      <w:r>
        <w:rPr>
          <w:rFonts w:hint="eastAsia" w:ascii="仿宋" w:hAnsi="仿宋" w:eastAsia="仿宋" w:cs="仿宋"/>
          <w:spacing w:val="1"/>
          <w:sz w:val="30"/>
          <w:szCs w:val="30"/>
          <w14:textOutline w14:w="4354" w14:cap="flat" w14:cmpd="sng">
            <w14:solidFill>
              <w14:srgbClr w14:val="000000"/>
            </w14:solidFill>
            <w14:prstDash w14:val="solid"/>
            <w14:miter w14:val="0"/>
          </w14:textOutline>
        </w:rPr>
        <w:t>项目名称：</w:t>
      </w:r>
      <w:r>
        <w:rPr>
          <w:rFonts w:hint="eastAsia" w:ascii="仿宋" w:hAnsi="仿宋" w:eastAsia="仿宋" w:cs="仿宋"/>
          <w:spacing w:val="-3"/>
          <w:sz w:val="30"/>
          <w:szCs w:val="30"/>
        </w:rPr>
        <w:t>“基于“电子商务+零售套餐”的电力零售交易关键技术研究及应用”</w:t>
      </w:r>
    </w:p>
    <w:p>
      <w:pPr>
        <w:spacing w:before="25" w:line="220" w:lineRule="auto"/>
        <w:ind w:firstLine="576" w:firstLineChars="200"/>
        <w:rPr>
          <w:rFonts w:hint="eastAsia" w:ascii="仿宋" w:hAnsi="仿宋" w:eastAsia="仿宋" w:cs="仿宋"/>
          <w:sz w:val="30"/>
          <w:szCs w:val="30"/>
        </w:rPr>
      </w:pPr>
      <w:r>
        <w:rPr>
          <w:rFonts w:hint="eastAsia" w:ascii="仿宋" w:hAnsi="仿宋" w:eastAsia="仿宋" w:cs="仿宋"/>
          <w:spacing w:val="-6"/>
          <w:sz w:val="30"/>
          <w:szCs w:val="30"/>
          <w14:textOutline w14:w="4354" w14:cap="flat" w14:cmpd="sng">
            <w14:solidFill>
              <w14:srgbClr w14:val="000000"/>
            </w14:solidFill>
            <w14:prstDash w14:val="solid"/>
            <w14:miter w14:val="0"/>
          </w14:textOutline>
        </w:rPr>
        <w:t>项目主要</w:t>
      </w:r>
      <w:r>
        <w:rPr>
          <w:rFonts w:hint="eastAsia" w:ascii="仿宋" w:hAnsi="仿宋" w:eastAsia="仿宋" w:cs="仿宋"/>
          <w:spacing w:val="-3"/>
          <w:sz w:val="30"/>
          <w:szCs w:val="30"/>
          <w14:textOutline w14:w="4354" w14:cap="flat" w14:cmpd="sng">
            <w14:solidFill>
              <w14:srgbClr w14:val="000000"/>
            </w14:solidFill>
            <w14:prstDash w14:val="solid"/>
            <w14:miter w14:val="0"/>
          </w14:textOutline>
        </w:rPr>
        <w:t>完成人：</w:t>
      </w:r>
      <w:r>
        <w:rPr>
          <w:rFonts w:hint="eastAsia" w:ascii="仿宋" w:hAnsi="仿宋" w:eastAsia="仿宋" w:cs="仿宋"/>
          <w:spacing w:val="-3"/>
          <w:sz w:val="30"/>
          <w:szCs w:val="30"/>
        </w:rPr>
        <w:t xml:space="preserve"> 王帮灿</w:t>
      </w:r>
      <w:r>
        <w:rPr>
          <w:rFonts w:hint="eastAsia" w:ascii="仿宋" w:hAnsi="仿宋" w:eastAsia="仿宋" w:cs="仿宋"/>
          <w:spacing w:val="-3"/>
          <w:sz w:val="30"/>
          <w:szCs w:val="30"/>
          <w:lang w:val="en-US" w:eastAsia="zh-CN"/>
        </w:rPr>
        <w:t xml:space="preserve"> </w:t>
      </w:r>
      <w:r>
        <w:rPr>
          <w:rFonts w:hint="eastAsia" w:ascii="仿宋" w:hAnsi="仿宋" w:eastAsia="仿宋" w:cs="仿宋"/>
          <w:spacing w:val="-3"/>
          <w:sz w:val="30"/>
          <w:szCs w:val="30"/>
        </w:rPr>
        <w:t>陈</w:t>
      </w:r>
      <w:r>
        <w:rPr>
          <w:rFonts w:hint="eastAsia" w:ascii="仿宋" w:hAnsi="仿宋" w:eastAsia="仿宋" w:cs="仿宋"/>
          <w:spacing w:val="-3"/>
          <w:sz w:val="30"/>
          <w:szCs w:val="30"/>
          <w:lang w:val="en-US" w:eastAsia="zh-CN"/>
        </w:rPr>
        <w:t xml:space="preserve"> </w:t>
      </w:r>
      <w:r>
        <w:rPr>
          <w:rFonts w:hint="eastAsia" w:ascii="仿宋" w:hAnsi="仿宋" w:eastAsia="仿宋" w:cs="仿宋"/>
          <w:spacing w:val="-3"/>
          <w:sz w:val="30"/>
          <w:szCs w:val="30"/>
        </w:rPr>
        <w:t>然</w:t>
      </w:r>
      <w:r>
        <w:rPr>
          <w:rFonts w:hint="eastAsia" w:ascii="仿宋" w:hAnsi="仿宋" w:eastAsia="仿宋" w:cs="仿宋"/>
          <w:spacing w:val="-3"/>
          <w:sz w:val="30"/>
          <w:szCs w:val="30"/>
          <w:lang w:val="en-US" w:eastAsia="zh-CN"/>
        </w:rPr>
        <w:t xml:space="preserve"> </w:t>
      </w:r>
      <w:r>
        <w:rPr>
          <w:rFonts w:hint="eastAsia" w:ascii="仿宋" w:hAnsi="仿宋" w:eastAsia="仿宋" w:cs="仿宋"/>
          <w:spacing w:val="-3"/>
          <w:sz w:val="30"/>
          <w:szCs w:val="30"/>
        </w:rPr>
        <w:t>丁文娇</w:t>
      </w:r>
      <w:r>
        <w:rPr>
          <w:rFonts w:hint="eastAsia" w:ascii="仿宋" w:hAnsi="仿宋" w:eastAsia="仿宋" w:cs="仿宋"/>
          <w:spacing w:val="-3"/>
          <w:sz w:val="30"/>
          <w:szCs w:val="30"/>
          <w:lang w:val="en-US" w:eastAsia="zh-CN"/>
        </w:rPr>
        <w:t xml:space="preserve"> </w:t>
      </w:r>
      <w:r>
        <w:rPr>
          <w:rFonts w:hint="eastAsia" w:ascii="仿宋" w:hAnsi="仿宋" w:eastAsia="仿宋" w:cs="仿宋"/>
          <w:spacing w:val="-3"/>
          <w:sz w:val="30"/>
          <w:szCs w:val="30"/>
        </w:rPr>
        <w:t>周</w:t>
      </w:r>
      <w:r>
        <w:rPr>
          <w:rFonts w:hint="eastAsia" w:ascii="仿宋" w:hAnsi="仿宋" w:eastAsia="仿宋" w:cs="仿宋"/>
          <w:spacing w:val="-3"/>
          <w:sz w:val="30"/>
          <w:szCs w:val="30"/>
          <w:lang w:val="en-US" w:eastAsia="zh-CN"/>
        </w:rPr>
        <w:t xml:space="preserve"> </w:t>
      </w:r>
      <w:r>
        <w:rPr>
          <w:rFonts w:hint="eastAsia" w:ascii="仿宋" w:hAnsi="仿宋" w:eastAsia="仿宋" w:cs="仿宋"/>
          <w:spacing w:val="-3"/>
          <w:sz w:val="30"/>
          <w:szCs w:val="30"/>
        </w:rPr>
        <w:t>娜</w:t>
      </w:r>
      <w:r>
        <w:rPr>
          <w:rFonts w:hint="eastAsia" w:ascii="仿宋" w:hAnsi="仿宋" w:eastAsia="仿宋" w:cs="仿宋"/>
          <w:spacing w:val="-3"/>
          <w:sz w:val="30"/>
          <w:szCs w:val="30"/>
          <w:lang w:val="en-US" w:eastAsia="zh-CN"/>
        </w:rPr>
        <w:t xml:space="preserve"> </w:t>
      </w:r>
      <w:r>
        <w:rPr>
          <w:rFonts w:hint="eastAsia" w:ascii="仿宋" w:hAnsi="仿宋" w:eastAsia="仿宋" w:cs="仿宋"/>
          <w:spacing w:val="-3"/>
          <w:sz w:val="30"/>
          <w:szCs w:val="30"/>
        </w:rPr>
        <w:t>陈冰霓</w:t>
      </w:r>
      <w:r>
        <w:rPr>
          <w:rFonts w:hint="eastAsia" w:ascii="仿宋" w:hAnsi="仿宋" w:eastAsia="仿宋" w:cs="仿宋"/>
          <w:spacing w:val="-3"/>
          <w:sz w:val="30"/>
          <w:szCs w:val="30"/>
          <w:lang w:val="en-US" w:eastAsia="zh-CN"/>
        </w:rPr>
        <w:t xml:space="preserve"> </w:t>
      </w:r>
      <w:r>
        <w:rPr>
          <w:rFonts w:hint="eastAsia" w:ascii="仿宋" w:hAnsi="仿宋" w:eastAsia="仿宋" w:cs="仿宋"/>
          <w:spacing w:val="-3"/>
          <w:sz w:val="30"/>
          <w:szCs w:val="30"/>
        </w:rPr>
        <w:t>应黎明</w:t>
      </w:r>
      <w:r>
        <w:rPr>
          <w:rFonts w:hint="eastAsia" w:ascii="仿宋" w:hAnsi="仿宋" w:eastAsia="仿宋" w:cs="仿宋"/>
          <w:spacing w:val="-3"/>
          <w:sz w:val="30"/>
          <w:szCs w:val="30"/>
          <w:lang w:val="en-US" w:eastAsia="zh-CN"/>
        </w:rPr>
        <w:t xml:space="preserve"> </w:t>
      </w:r>
      <w:r>
        <w:rPr>
          <w:rFonts w:hint="eastAsia" w:ascii="仿宋" w:hAnsi="仿宋" w:eastAsia="仿宋" w:cs="仿宋"/>
          <w:spacing w:val="-3"/>
          <w:sz w:val="30"/>
          <w:szCs w:val="30"/>
        </w:rPr>
        <w:t>杨</w:t>
      </w:r>
      <w:r>
        <w:rPr>
          <w:rFonts w:hint="eastAsia" w:ascii="仿宋" w:hAnsi="仿宋" w:eastAsia="仿宋" w:cs="仿宋"/>
          <w:spacing w:val="-3"/>
          <w:sz w:val="30"/>
          <w:szCs w:val="30"/>
          <w:lang w:val="en-US" w:eastAsia="zh-CN"/>
        </w:rPr>
        <w:t xml:space="preserve"> </w:t>
      </w:r>
      <w:r>
        <w:rPr>
          <w:rFonts w:hint="eastAsia" w:ascii="仿宋" w:hAnsi="仿宋" w:eastAsia="仿宋" w:cs="仿宋"/>
          <w:spacing w:val="-3"/>
          <w:sz w:val="30"/>
          <w:szCs w:val="30"/>
        </w:rPr>
        <w:t>强</w:t>
      </w:r>
      <w:r>
        <w:rPr>
          <w:rFonts w:hint="eastAsia" w:ascii="仿宋" w:hAnsi="仿宋" w:eastAsia="仿宋" w:cs="仿宋"/>
          <w:spacing w:val="-3"/>
          <w:sz w:val="30"/>
          <w:szCs w:val="30"/>
          <w:lang w:val="en-US" w:eastAsia="zh-CN"/>
        </w:rPr>
        <w:t xml:space="preserve"> </w:t>
      </w:r>
      <w:r>
        <w:rPr>
          <w:rFonts w:hint="eastAsia" w:ascii="仿宋" w:hAnsi="仿宋" w:eastAsia="仿宋" w:cs="仿宋"/>
          <w:spacing w:val="-3"/>
          <w:sz w:val="30"/>
          <w:szCs w:val="30"/>
        </w:rPr>
        <w:t>蔡华祥</w:t>
      </w:r>
      <w:r>
        <w:rPr>
          <w:rFonts w:hint="eastAsia" w:ascii="仿宋" w:hAnsi="仿宋" w:eastAsia="仿宋" w:cs="仿宋"/>
          <w:spacing w:val="-3"/>
          <w:sz w:val="30"/>
          <w:szCs w:val="30"/>
          <w:lang w:val="en-US" w:eastAsia="zh-CN"/>
        </w:rPr>
        <w:t xml:space="preserve"> </w:t>
      </w:r>
      <w:r>
        <w:rPr>
          <w:rFonts w:hint="eastAsia" w:ascii="仿宋" w:hAnsi="仿宋" w:eastAsia="仿宋" w:cs="仿宋"/>
          <w:spacing w:val="-3"/>
          <w:sz w:val="30"/>
          <w:szCs w:val="30"/>
        </w:rPr>
        <w:t>赵伟华</w:t>
      </w:r>
      <w:r>
        <w:rPr>
          <w:rFonts w:hint="eastAsia" w:ascii="仿宋" w:hAnsi="仿宋" w:eastAsia="仿宋" w:cs="仿宋"/>
          <w:spacing w:val="-3"/>
          <w:sz w:val="30"/>
          <w:szCs w:val="30"/>
          <w:lang w:val="en-US" w:eastAsia="zh-CN"/>
        </w:rPr>
        <w:t xml:space="preserve"> </w:t>
      </w:r>
      <w:r>
        <w:rPr>
          <w:rFonts w:hint="eastAsia" w:ascii="仿宋" w:hAnsi="仿宋" w:eastAsia="仿宋" w:cs="仿宋"/>
          <w:spacing w:val="-3"/>
          <w:sz w:val="30"/>
          <w:szCs w:val="30"/>
        </w:rPr>
        <w:t>杨东源</w:t>
      </w:r>
      <w:r>
        <w:rPr>
          <w:rFonts w:hint="eastAsia" w:ascii="仿宋" w:hAnsi="仿宋" w:eastAsia="仿宋" w:cs="仿宋"/>
          <w:spacing w:val="-3"/>
          <w:sz w:val="30"/>
          <w:szCs w:val="30"/>
          <w:lang w:val="en-US" w:eastAsia="zh-CN"/>
        </w:rPr>
        <w:t xml:space="preserve"> </w:t>
      </w:r>
      <w:r>
        <w:rPr>
          <w:rFonts w:hint="eastAsia" w:ascii="仿宋" w:hAnsi="仿宋" w:eastAsia="仿宋" w:cs="仿宋"/>
          <w:spacing w:val="-3"/>
          <w:sz w:val="30"/>
          <w:szCs w:val="30"/>
        </w:rPr>
        <w:t>王舒瑾</w:t>
      </w:r>
      <w:r>
        <w:rPr>
          <w:rFonts w:hint="eastAsia" w:ascii="仿宋" w:hAnsi="仿宋" w:eastAsia="仿宋" w:cs="仿宋"/>
          <w:spacing w:val="-3"/>
          <w:sz w:val="30"/>
          <w:szCs w:val="30"/>
          <w:lang w:val="en-US" w:eastAsia="zh-CN"/>
        </w:rPr>
        <w:t xml:space="preserve"> </w:t>
      </w:r>
      <w:r>
        <w:rPr>
          <w:rFonts w:hint="eastAsia" w:ascii="仿宋" w:hAnsi="仿宋" w:eastAsia="仿宋" w:cs="仿宋"/>
          <w:spacing w:val="-3"/>
          <w:sz w:val="30"/>
          <w:szCs w:val="30"/>
        </w:rPr>
        <w:t>黄</w:t>
      </w:r>
      <w:r>
        <w:rPr>
          <w:rFonts w:hint="eastAsia" w:ascii="仿宋" w:hAnsi="仿宋" w:eastAsia="仿宋" w:cs="仿宋"/>
          <w:spacing w:val="-3"/>
          <w:sz w:val="30"/>
          <w:szCs w:val="30"/>
          <w:lang w:val="en-US" w:eastAsia="zh-CN"/>
        </w:rPr>
        <w:t xml:space="preserve"> </w:t>
      </w:r>
      <w:r>
        <w:rPr>
          <w:rFonts w:hint="eastAsia" w:ascii="仿宋" w:hAnsi="仿宋" w:eastAsia="仿宋" w:cs="仿宋"/>
          <w:spacing w:val="-3"/>
          <w:sz w:val="30"/>
          <w:szCs w:val="30"/>
        </w:rPr>
        <w:t>琨</w:t>
      </w:r>
      <w:r>
        <w:rPr>
          <w:rFonts w:hint="eastAsia" w:ascii="仿宋" w:hAnsi="仿宋" w:eastAsia="仿宋" w:cs="仿宋"/>
          <w:spacing w:val="-3"/>
          <w:sz w:val="30"/>
          <w:szCs w:val="30"/>
          <w:lang w:val="en-US" w:eastAsia="zh-CN"/>
        </w:rPr>
        <w:t xml:space="preserve"> </w:t>
      </w:r>
      <w:r>
        <w:rPr>
          <w:rFonts w:hint="eastAsia" w:ascii="仿宋" w:hAnsi="仿宋" w:eastAsia="仿宋" w:cs="仿宋"/>
          <w:spacing w:val="-3"/>
          <w:sz w:val="30"/>
          <w:szCs w:val="30"/>
        </w:rPr>
        <w:t>王熙凯</w:t>
      </w:r>
      <w:r>
        <w:rPr>
          <w:rFonts w:hint="eastAsia" w:ascii="仿宋" w:hAnsi="仿宋" w:eastAsia="仿宋" w:cs="仿宋"/>
          <w:spacing w:val="-3"/>
          <w:sz w:val="30"/>
          <w:szCs w:val="30"/>
          <w:lang w:val="en-US" w:eastAsia="zh-CN"/>
        </w:rPr>
        <w:t xml:space="preserve"> </w:t>
      </w:r>
      <w:r>
        <w:rPr>
          <w:rFonts w:hint="eastAsia" w:ascii="仿宋" w:hAnsi="仿宋" w:eastAsia="仿宋" w:cs="仿宋"/>
          <w:spacing w:val="-3"/>
          <w:sz w:val="30"/>
          <w:szCs w:val="30"/>
        </w:rPr>
        <w:t>邢玉辉</w:t>
      </w:r>
      <w:r>
        <w:rPr>
          <w:rFonts w:hint="eastAsia" w:ascii="仿宋" w:hAnsi="仿宋" w:eastAsia="仿宋" w:cs="仿宋"/>
          <w:spacing w:val="-3"/>
          <w:sz w:val="30"/>
          <w:szCs w:val="30"/>
          <w:lang w:val="en-US" w:eastAsia="zh-CN"/>
        </w:rPr>
        <w:t xml:space="preserve"> </w:t>
      </w:r>
      <w:r>
        <w:rPr>
          <w:rFonts w:hint="eastAsia" w:ascii="仿宋" w:hAnsi="仿宋" w:eastAsia="仿宋" w:cs="仿宋"/>
          <w:spacing w:val="-3"/>
          <w:sz w:val="30"/>
          <w:szCs w:val="30"/>
        </w:rPr>
        <w:t>孙永军</w:t>
      </w:r>
    </w:p>
    <w:p>
      <w:pPr>
        <w:spacing w:before="28"/>
        <w:ind w:left="123" w:right="113" w:firstLine="485"/>
        <w:rPr>
          <w:rFonts w:hint="eastAsia" w:ascii="仿宋" w:hAnsi="仿宋" w:eastAsia="仿宋" w:cs="仿宋"/>
          <w:sz w:val="30"/>
          <w:szCs w:val="30"/>
        </w:rPr>
      </w:pPr>
      <w:r>
        <w:rPr>
          <w:rFonts w:hint="eastAsia" w:ascii="仿宋" w:hAnsi="仿宋" w:eastAsia="仿宋" w:cs="仿宋"/>
          <w:spacing w:val="-6"/>
          <w:sz w:val="30"/>
          <w:szCs w:val="30"/>
          <w14:textOutline w14:w="4354" w14:cap="flat" w14:cmpd="sng">
            <w14:solidFill>
              <w14:srgbClr w14:val="000000"/>
            </w14:solidFill>
            <w14:prstDash w14:val="solid"/>
            <w14:miter w14:val="0"/>
          </w14:textOutline>
        </w:rPr>
        <w:t>项</w:t>
      </w:r>
      <w:r>
        <w:rPr>
          <w:rFonts w:hint="eastAsia" w:ascii="仿宋" w:hAnsi="仿宋" w:eastAsia="仿宋" w:cs="仿宋"/>
          <w:spacing w:val="-3"/>
          <w:sz w:val="30"/>
          <w:szCs w:val="30"/>
          <w14:textOutline w14:w="4354" w14:cap="flat" w14:cmpd="sng">
            <w14:solidFill>
              <w14:srgbClr w14:val="000000"/>
            </w14:solidFill>
            <w14:prstDash w14:val="solid"/>
            <w14:miter w14:val="0"/>
          </w14:textOutline>
        </w:rPr>
        <w:t>目完成单位：</w:t>
      </w:r>
      <w:r>
        <w:rPr>
          <w:rFonts w:hint="eastAsia" w:ascii="仿宋" w:hAnsi="仿宋" w:eastAsia="仿宋" w:cs="仿宋"/>
          <w:spacing w:val="-3"/>
          <w:sz w:val="30"/>
          <w:szCs w:val="30"/>
        </w:rPr>
        <w:t>昆明电力交易中心有限责任公司</w:t>
      </w:r>
      <w:r>
        <w:rPr>
          <w:rFonts w:hint="eastAsia" w:ascii="仿宋" w:hAnsi="仿宋" w:eastAsia="仿宋" w:cs="仿宋"/>
          <w:spacing w:val="-3"/>
          <w:sz w:val="30"/>
          <w:szCs w:val="30"/>
          <w:lang w:val="en-US" w:eastAsia="zh-CN"/>
        </w:rPr>
        <w:t xml:space="preserve"> </w:t>
      </w:r>
      <w:r>
        <w:rPr>
          <w:rFonts w:hint="eastAsia" w:ascii="仿宋" w:hAnsi="仿宋" w:eastAsia="仿宋" w:cs="仿宋"/>
          <w:spacing w:val="-3"/>
          <w:sz w:val="30"/>
          <w:szCs w:val="30"/>
        </w:rPr>
        <w:t>浙江网新恒天软件有限公司</w:t>
      </w:r>
      <w:r>
        <w:rPr>
          <w:rFonts w:hint="eastAsia" w:ascii="仿宋" w:hAnsi="仿宋" w:eastAsia="仿宋" w:cs="仿宋"/>
          <w:spacing w:val="-3"/>
          <w:sz w:val="30"/>
          <w:szCs w:val="30"/>
          <w:lang w:val="en-US" w:eastAsia="zh-CN"/>
        </w:rPr>
        <w:t xml:space="preserve"> </w:t>
      </w:r>
      <w:r>
        <w:rPr>
          <w:rFonts w:hint="eastAsia" w:ascii="仿宋" w:hAnsi="仿宋" w:eastAsia="仿宋" w:cs="仿宋"/>
          <w:spacing w:val="-3"/>
          <w:sz w:val="30"/>
          <w:szCs w:val="30"/>
        </w:rPr>
        <w:t>武汉大学</w:t>
      </w:r>
    </w:p>
    <w:p>
      <w:pPr>
        <w:spacing w:line="219" w:lineRule="auto"/>
        <w:ind w:left="608"/>
        <w:rPr>
          <w:rFonts w:hint="eastAsia" w:ascii="仿宋" w:hAnsi="仿宋" w:eastAsia="仿宋" w:cs="仿宋"/>
          <w:sz w:val="30"/>
          <w:szCs w:val="30"/>
          <w:lang w:val="en-US" w:eastAsia="zh-CN"/>
        </w:rPr>
      </w:pPr>
      <w:r>
        <w:rPr>
          <w:rFonts w:hint="eastAsia" w:ascii="仿宋" w:hAnsi="仿宋" w:eastAsia="仿宋" w:cs="仿宋"/>
          <w:spacing w:val="-1"/>
          <w:sz w:val="30"/>
          <w:szCs w:val="30"/>
          <w:lang w:val="en-US" w:eastAsia="zh-CN"/>
          <w14:textOutline w14:w="4354" w14:cap="flat" w14:cmpd="sng">
            <w14:solidFill>
              <w14:srgbClr w14:val="000000"/>
            </w14:solidFill>
            <w14:prstDash w14:val="solid"/>
            <w14:miter w14:val="0"/>
          </w14:textOutline>
        </w:rPr>
        <w:t>拟</w:t>
      </w:r>
      <w:r>
        <w:rPr>
          <w:rFonts w:hint="eastAsia" w:ascii="仿宋" w:hAnsi="仿宋" w:eastAsia="仿宋" w:cs="仿宋"/>
          <w:spacing w:val="-1"/>
          <w:sz w:val="30"/>
          <w:szCs w:val="30"/>
          <w14:textOutline w14:w="4354" w14:cap="flat" w14:cmpd="sng">
            <w14:solidFill>
              <w14:srgbClr w14:val="000000"/>
            </w14:solidFill>
            <w14:prstDash w14:val="solid"/>
            <w14:miter w14:val="0"/>
          </w14:textOutline>
        </w:rPr>
        <w:t>项目提名单</w:t>
      </w:r>
      <w:r>
        <w:rPr>
          <w:rFonts w:hint="eastAsia" w:ascii="仿宋" w:hAnsi="仿宋" w:eastAsia="仿宋" w:cs="仿宋"/>
          <w:sz w:val="30"/>
          <w:szCs w:val="30"/>
          <w14:textOutline w14:w="4354" w14:cap="flat" w14:cmpd="sng">
            <w14:solidFill>
              <w14:srgbClr w14:val="000000"/>
            </w14:solidFill>
            <w14:prstDash w14:val="solid"/>
            <w14:miter w14:val="0"/>
          </w14:textOutline>
        </w:rPr>
        <w:t>位：</w:t>
      </w:r>
      <w:r>
        <w:rPr>
          <w:rFonts w:hint="eastAsia" w:ascii="仿宋" w:hAnsi="仿宋" w:eastAsia="仿宋" w:cs="仿宋"/>
          <w:sz w:val="30"/>
          <w:szCs w:val="30"/>
          <w:lang w:val="en-US" w:eastAsia="zh-CN"/>
        </w:rPr>
        <w:t>云南省能源局</w:t>
      </w:r>
    </w:p>
    <w:p>
      <w:pPr>
        <w:spacing w:before="27" w:line="219" w:lineRule="auto"/>
        <w:ind w:left="604"/>
        <w:rPr>
          <w:rFonts w:hint="eastAsia" w:ascii="仿宋" w:hAnsi="仿宋" w:eastAsia="仿宋" w:cs="仿宋"/>
          <w:color w:val="333333"/>
          <w:sz w:val="30"/>
          <w:szCs w:val="30"/>
        </w:rPr>
      </w:pPr>
      <w:r>
        <w:rPr>
          <w:rFonts w:hint="eastAsia" w:ascii="仿宋" w:hAnsi="仿宋" w:eastAsia="仿宋" w:cs="仿宋"/>
          <w:color w:val="333333"/>
          <w:spacing w:val="-1"/>
          <w:sz w:val="30"/>
          <w:szCs w:val="30"/>
          <w14:textOutline w14:w="4354" w14:cap="flat" w14:cmpd="sng">
            <w14:solidFill>
              <w14:srgbClr w14:val="333333"/>
            </w14:solidFill>
            <w14:prstDash w14:val="solid"/>
            <w14:miter w14:val="0"/>
          </w14:textOutline>
        </w:rPr>
        <w:t>拟提名等</w:t>
      </w:r>
      <w:r>
        <w:rPr>
          <w:rFonts w:hint="eastAsia" w:ascii="仿宋" w:hAnsi="仿宋" w:eastAsia="仿宋" w:cs="仿宋"/>
          <w:color w:val="333333"/>
          <w:sz w:val="30"/>
          <w:szCs w:val="30"/>
          <w14:textOutline w14:w="4354" w14:cap="flat" w14:cmpd="sng">
            <w14:solidFill>
              <w14:srgbClr w14:val="333333"/>
            </w14:solidFill>
            <w14:prstDash w14:val="solid"/>
            <w14:miter w14:val="0"/>
          </w14:textOutline>
        </w:rPr>
        <w:t>级：</w:t>
      </w:r>
      <w:r>
        <w:rPr>
          <w:rFonts w:hint="eastAsia" w:ascii="仿宋" w:hAnsi="仿宋" w:eastAsia="仿宋" w:cs="仿宋"/>
          <w:color w:val="333333"/>
          <w:sz w:val="30"/>
          <w:szCs w:val="30"/>
        </w:rPr>
        <w:t>云南省科技进步奖</w:t>
      </w:r>
      <w:r>
        <w:rPr>
          <w:rFonts w:hint="eastAsia" w:ascii="仿宋" w:hAnsi="仿宋" w:eastAsia="仿宋" w:cs="仿宋"/>
          <w:color w:val="333333"/>
          <w:sz w:val="30"/>
          <w:szCs w:val="30"/>
          <w:lang w:val="en-US" w:eastAsia="zh-CN"/>
        </w:rPr>
        <w:t>二</w:t>
      </w:r>
      <w:r>
        <w:rPr>
          <w:rFonts w:hint="eastAsia" w:ascii="仿宋" w:hAnsi="仿宋" w:eastAsia="仿宋" w:cs="仿宋"/>
          <w:color w:val="333333"/>
          <w:sz w:val="30"/>
          <w:szCs w:val="30"/>
        </w:rPr>
        <w:t>等奖</w:t>
      </w:r>
    </w:p>
    <w:p>
      <w:pPr>
        <w:pStyle w:val="2"/>
        <w:rPr>
          <w:rFonts w:hint="eastAsia" w:ascii="仿宋" w:hAnsi="仿宋" w:eastAsia="仿宋" w:cs="仿宋"/>
          <w:color w:val="333333"/>
          <w:sz w:val="30"/>
          <w:szCs w:val="30"/>
        </w:rPr>
      </w:pPr>
    </w:p>
    <w:p>
      <w:pPr>
        <w:spacing w:before="91" w:line="219" w:lineRule="auto"/>
        <w:outlineLvl w:val="0"/>
        <w:rPr>
          <w:rFonts w:hint="default" w:ascii="宋体" w:hAnsi="宋体" w:eastAsia="宋体" w:cs="宋体"/>
          <w:color w:val="333333"/>
          <w:spacing w:val="-1"/>
          <w:sz w:val="28"/>
          <w:szCs w:val="28"/>
          <w:lang w:val="en-US" w:eastAsia="zh-CN"/>
          <w14:textOutline w14:w="5094" w14:cap="flat" w14:cmpd="sng">
            <w14:solidFill>
              <w14:srgbClr w14:val="333333"/>
            </w14:solidFill>
            <w14:prstDash w14:val="solid"/>
            <w14:miter w14:val="0"/>
          </w14:textOutline>
        </w:rPr>
      </w:pPr>
      <w:r>
        <w:rPr>
          <w:rFonts w:hint="eastAsia" w:ascii="宋体" w:hAnsi="宋体" w:eastAsia="宋体" w:cs="宋体"/>
          <w:color w:val="333333"/>
          <w:spacing w:val="-1"/>
          <w:sz w:val="28"/>
          <w:szCs w:val="28"/>
          <w:lang w:val="en-US" w:eastAsia="zh-CN"/>
          <w14:textOutline w14:w="5094" w14:cap="flat" w14:cmpd="sng">
            <w14:solidFill>
              <w14:srgbClr w14:val="333333"/>
            </w14:solidFill>
            <w14:prstDash w14:val="solid"/>
            <w14:miter w14:val="0"/>
          </w14:textOutline>
        </w:rPr>
        <w:t>二、成果简介</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600" w:lineRule="exact"/>
        <w:ind w:left="0" w:right="0" w:firstLine="600" w:firstLineChars="200"/>
        <w:jc w:val="left"/>
        <w:textAlignment w:val="auto"/>
        <w:rPr>
          <w:rFonts w:hint="eastAsia" w:ascii="仿宋" w:hAnsi="仿宋" w:eastAsia="仿宋" w:cs="仿宋"/>
          <w:kern w:val="2"/>
          <w:sz w:val="30"/>
          <w:szCs w:val="30"/>
          <w:highlight w:val="none"/>
          <w:lang w:val="en-US" w:eastAsia="zh-CN" w:bidi="ar"/>
        </w:rPr>
      </w:pPr>
      <w:r>
        <w:rPr>
          <w:rFonts w:hint="eastAsia" w:ascii="仿宋" w:hAnsi="仿宋" w:eastAsia="仿宋" w:cs="仿宋"/>
          <w:kern w:val="2"/>
          <w:sz w:val="30"/>
          <w:szCs w:val="30"/>
          <w:highlight w:val="none"/>
          <w:lang w:val="en-US" w:eastAsia="zh-CN" w:bidi="ar"/>
        </w:rPr>
        <w:t xml:space="preserve">项目属“电力市场”、“信息技术”等技术领域。 </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600" w:lineRule="exact"/>
        <w:ind w:left="0" w:right="0" w:firstLine="600" w:firstLineChars="200"/>
        <w:jc w:val="left"/>
        <w:textAlignment w:val="auto"/>
        <w:rPr>
          <w:rFonts w:hint="eastAsia" w:ascii="仿宋" w:hAnsi="仿宋" w:eastAsia="仿宋" w:cs="仿宋"/>
          <w:kern w:val="2"/>
          <w:sz w:val="30"/>
          <w:szCs w:val="30"/>
          <w:highlight w:val="none"/>
          <w:lang w:val="en-US" w:eastAsia="zh-CN" w:bidi="ar"/>
        </w:rPr>
      </w:pPr>
      <w:r>
        <w:rPr>
          <w:rFonts w:hint="eastAsia" w:ascii="仿宋" w:hAnsi="仿宋" w:eastAsia="仿宋" w:cs="仿宋"/>
          <w:kern w:val="2"/>
          <w:sz w:val="30"/>
          <w:szCs w:val="30"/>
          <w:highlight w:val="none"/>
          <w:lang w:val="en-US" w:eastAsia="zh-CN" w:bidi="ar"/>
        </w:rPr>
        <w:t>随着国家新一轮电力体制改革的深入推进，潜在市场用户规模激增至百万量级。要推动国家电改政策落地，迫切需要创新解决</w:t>
      </w:r>
      <w:r>
        <w:rPr>
          <w:rFonts w:hint="eastAsia" w:ascii="仿宋" w:hAnsi="仿宋" w:eastAsia="仿宋" w:cs="仿宋"/>
          <w:b/>
          <w:bCs/>
          <w:kern w:val="2"/>
          <w:sz w:val="30"/>
          <w:szCs w:val="30"/>
          <w:highlight w:val="none"/>
          <w:lang w:val="en-US" w:eastAsia="zh-CN" w:bidi="ar"/>
        </w:rPr>
        <w:t>电力商品价值表征难，中小用户交易参与的便捷性、信任度受限，集中式电力零售交易风险防控技术空白</w:t>
      </w:r>
      <w:r>
        <w:rPr>
          <w:rFonts w:hint="eastAsia" w:ascii="仿宋" w:hAnsi="仿宋" w:eastAsia="仿宋" w:cs="仿宋"/>
          <w:kern w:val="2"/>
          <w:sz w:val="30"/>
          <w:szCs w:val="30"/>
          <w:highlight w:val="none"/>
          <w:lang w:val="en-US" w:eastAsia="zh-CN" w:bidi="ar"/>
        </w:rPr>
        <w:t>等多项电力市场建设运营技术难题。通过技术创新突破和成果应用，提高电力市场运行效率，改善电力市场营商环境。</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600" w:lineRule="exact"/>
        <w:ind w:left="0" w:right="0" w:firstLine="600" w:firstLineChars="200"/>
        <w:jc w:val="left"/>
        <w:textAlignment w:val="auto"/>
        <w:rPr>
          <w:rFonts w:hint="eastAsia" w:ascii="仿宋" w:hAnsi="仿宋" w:eastAsia="仿宋" w:cs="仿宋"/>
          <w:kern w:val="2"/>
          <w:sz w:val="30"/>
          <w:szCs w:val="30"/>
          <w:highlight w:val="none"/>
          <w:lang w:val="en-US" w:eastAsia="zh-CN" w:bidi="ar"/>
        </w:rPr>
      </w:pPr>
      <w:r>
        <w:rPr>
          <w:rFonts w:hint="eastAsia" w:ascii="仿宋" w:hAnsi="仿宋" w:eastAsia="仿宋" w:cs="仿宋"/>
          <w:kern w:val="2"/>
          <w:sz w:val="30"/>
          <w:szCs w:val="30"/>
          <w:highlight w:val="none"/>
          <w:lang w:val="en-US" w:eastAsia="zh-CN" w:bidi="ar"/>
        </w:rPr>
        <w:t>项目历时5年攻关，取得了多项关键技术突破：</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600" w:lineRule="exact"/>
        <w:ind w:left="0" w:right="0" w:firstLine="600" w:firstLineChars="200"/>
        <w:jc w:val="left"/>
        <w:textAlignment w:val="auto"/>
        <w:rPr>
          <w:rFonts w:hint="eastAsia" w:ascii="仿宋" w:hAnsi="仿宋" w:eastAsia="仿宋" w:cs="仿宋"/>
          <w:kern w:val="2"/>
          <w:sz w:val="30"/>
          <w:szCs w:val="30"/>
          <w:highlight w:val="none"/>
          <w:lang w:val="en-US" w:eastAsia="zh-CN" w:bidi="ar"/>
        </w:rPr>
      </w:pPr>
      <w:bookmarkStart w:id="0" w:name="OLE_LINK5"/>
      <w:r>
        <w:rPr>
          <w:rFonts w:hint="eastAsia" w:ascii="仿宋" w:hAnsi="仿宋" w:eastAsia="仿宋" w:cs="仿宋"/>
          <w:kern w:val="2"/>
          <w:sz w:val="30"/>
          <w:szCs w:val="30"/>
          <w:highlight w:val="none"/>
          <w:lang w:val="en-US" w:eastAsia="zh-CN" w:bidi="ar"/>
        </w:rPr>
        <w:t>1）设计了多维参数灵活配置标准化电力零售套餐模型，应用并实践了批零市场深度解耦、电力商品套餐化等方法，构建了可感知的套餐介质，实现零售市场自由充分竞争。</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600" w:lineRule="exact"/>
        <w:ind w:left="0" w:right="0" w:firstLine="600" w:firstLineChars="200"/>
        <w:jc w:val="left"/>
        <w:textAlignment w:val="auto"/>
        <w:rPr>
          <w:rFonts w:hint="eastAsia" w:ascii="仿宋" w:hAnsi="仿宋" w:eastAsia="仿宋" w:cs="仿宋"/>
          <w:kern w:val="2"/>
          <w:sz w:val="30"/>
          <w:szCs w:val="30"/>
          <w:highlight w:val="none"/>
          <w:lang w:val="en-US" w:eastAsia="zh-CN" w:bidi="ar"/>
        </w:rPr>
      </w:pPr>
      <w:r>
        <w:rPr>
          <w:rFonts w:hint="eastAsia" w:ascii="仿宋" w:hAnsi="仿宋" w:eastAsia="仿宋" w:cs="仿宋"/>
          <w:kern w:val="2"/>
          <w:sz w:val="30"/>
          <w:szCs w:val="30"/>
          <w:highlight w:val="none"/>
          <w:lang w:val="en-US" w:eastAsia="zh-CN" w:bidi="ar"/>
        </w:rPr>
        <w:t>2）设计了基于市场主体交易行为大数据分析的个性化搜索和推荐技术，实现了一种满足大规模主体差异化需求的电力零售市场个性化交易方法。</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600" w:lineRule="exact"/>
        <w:ind w:left="0" w:right="0" w:firstLine="600" w:firstLineChars="200"/>
        <w:jc w:val="left"/>
        <w:textAlignment w:val="auto"/>
        <w:rPr>
          <w:rFonts w:hint="eastAsia" w:ascii="仿宋" w:hAnsi="仿宋" w:eastAsia="仿宋" w:cs="仿宋"/>
          <w:kern w:val="2"/>
          <w:sz w:val="30"/>
          <w:szCs w:val="30"/>
          <w:highlight w:val="none"/>
          <w:lang w:val="en-US" w:eastAsia="zh-CN" w:bidi="ar"/>
        </w:rPr>
      </w:pPr>
      <w:r>
        <w:rPr>
          <w:rFonts w:hint="eastAsia" w:ascii="仿宋" w:hAnsi="仿宋" w:eastAsia="仿宋" w:cs="仿宋"/>
          <w:kern w:val="2"/>
          <w:sz w:val="30"/>
          <w:szCs w:val="30"/>
          <w:highlight w:val="none"/>
          <w:lang w:val="en-US" w:eastAsia="zh-CN" w:bidi="ar"/>
        </w:rPr>
        <w:t>3）设计了一种逐日盯市和试结算的批零价差收益风险计算模型，建立了基于用户负荷预测的风险识别和防控机制，有效支撑了电力零售市场稳定有序运行。</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600" w:lineRule="exact"/>
        <w:ind w:left="0" w:right="0" w:firstLine="600" w:firstLineChars="200"/>
        <w:jc w:val="left"/>
        <w:textAlignment w:val="auto"/>
        <w:rPr>
          <w:rFonts w:hint="eastAsia" w:ascii="仿宋" w:hAnsi="仿宋" w:eastAsia="仿宋" w:cs="仿宋"/>
          <w:kern w:val="2"/>
          <w:sz w:val="30"/>
          <w:szCs w:val="30"/>
          <w:highlight w:val="none"/>
          <w:lang w:val="en-US" w:eastAsia="zh-CN" w:bidi="ar"/>
        </w:rPr>
      </w:pPr>
      <w:r>
        <w:rPr>
          <w:rFonts w:hint="eastAsia" w:ascii="仿宋" w:hAnsi="仿宋" w:eastAsia="仿宋" w:cs="仿宋"/>
          <w:kern w:val="2"/>
          <w:sz w:val="30"/>
          <w:szCs w:val="30"/>
          <w:highlight w:val="none"/>
          <w:lang w:val="en-US" w:eastAsia="zh-CN" w:bidi="ar"/>
        </w:rPr>
        <w:t>4）研发了基于电子商务理念的电力新零售交易平台，应用了微服务软件架构、业务控制引擎等技术，构建了电力新零售交易全业务链条，实现了电力零售交易便捷化、高效化、数字化。</w:t>
      </w:r>
      <w:bookmarkEnd w:id="0"/>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600" w:lineRule="exact"/>
        <w:ind w:left="0" w:right="0" w:firstLine="600" w:firstLineChars="200"/>
        <w:jc w:val="left"/>
        <w:textAlignment w:val="auto"/>
        <w:rPr>
          <w:rFonts w:hint="eastAsia" w:ascii="仿宋" w:hAnsi="仿宋" w:eastAsia="仿宋" w:cs="仿宋"/>
          <w:kern w:val="2"/>
          <w:sz w:val="30"/>
          <w:szCs w:val="30"/>
          <w:highlight w:val="none"/>
          <w:lang w:val="en-US" w:eastAsia="zh-CN" w:bidi="ar"/>
        </w:rPr>
      </w:pPr>
      <w:r>
        <w:rPr>
          <w:rFonts w:hint="eastAsia" w:ascii="仿宋" w:hAnsi="仿宋" w:eastAsia="仿宋" w:cs="仿宋"/>
          <w:kern w:val="2"/>
          <w:sz w:val="30"/>
          <w:szCs w:val="30"/>
          <w:highlight w:val="none"/>
          <w:lang w:val="en-US" w:eastAsia="zh-CN" w:bidi="ar"/>
        </w:rPr>
        <w:t>成果于2020年12月在云南落地应用，累计服务用户超26万户，用户数位居全国前列，有效推动国家全面放开工商业用户入市交易政策在云南落地，经济、社会效益显著。项目成果被纳入云南自贸区昆明片区制度创新案例，并通过国家自由贸易试验区工作部际联席会议和全国电力交易机构联盟推广全国，被纳入南网“创先进树典型”案例推广。</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600" w:lineRule="exact"/>
        <w:ind w:left="0" w:right="0" w:firstLine="600" w:firstLineChars="200"/>
        <w:jc w:val="left"/>
        <w:textAlignment w:val="auto"/>
        <w:rPr>
          <w:rFonts w:hint="eastAsia" w:ascii="仿宋" w:hAnsi="仿宋" w:eastAsia="仿宋" w:cs="仿宋"/>
          <w:kern w:val="2"/>
          <w:sz w:val="30"/>
          <w:szCs w:val="30"/>
          <w:highlight w:val="none"/>
          <w:lang w:val="en-US" w:eastAsia="zh-CN" w:bidi="ar"/>
        </w:rPr>
      </w:pPr>
      <w:bookmarkStart w:id="1" w:name="OLE_LINK6"/>
      <w:r>
        <w:rPr>
          <w:rFonts w:hint="eastAsia" w:ascii="仿宋" w:hAnsi="仿宋" w:eastAsia="仿宋" w:cs="仿宋"/>
          <w:kern w:val="2"/>
          <w:sz w:val="30"/>
          <w:szCs w:val="30"/>
          <w:highlight w:val="none"/>
          <w:lang w:val="en-US" w:eastAsia="zh-CN" w:bidi="ar"/>
        </w:rPr>
        <w:t>项目申请国家发明专利20项，获授权3项，并获软件著作权7项，发表EI见刊论文7篇</w:t>
      </w:r>
      <w:bookmarkEnd w:id="1"/>
      <w:r>
        <w:rPr>
          <w:rFonts w:hint="eastAsia" w:ascii="仿宋" w:hAnsi="仿宋" w:eastAsia="仿宋" w:cs="仿宋"/>
          <w:kern w:val="2"/>
          <w:sz w:val="30"/>
          <w:szCs w:val="30"/>
          <w:highlight w:val="none"/>
          <w:lang w:val="en-US" w:eastAsia="zh-CN" w:bidi="ar"/>
        </w:rPr>
        <w:t>。</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600" w:lineRule="exact"/>
        <w:ind w:left="0" w:right="0" w:firstLine="600" w:firstLineChars="200"/>
        <w:jc w:val="left"/>
        <w:textAlignment w:val="auto"/>
        <w:rPr>
          <w:rFonts w:hint="eastAsia" w:ascii="仿宋" w:hAnsi="仿宋" w:eastAsia="仿宋" w:cs="仿宋"/>
          <w:kern w:val="2"/>
          <w:sz w:val="30"/>
          <w:szCs w:val="30"/>
          <w:highlight w:val="none"/>
          <w:lang w:val="en-US" w:eastAsia="zh-CN" w:bidi="ar"/>
        </w:rPr>
      </w:pPr>
      <w:bookmarkStart w:id="2" w:name="OLE_LINK14"/>
      <w:r>
        <w:rPr>
          <w:rFonts w:hint="eastAsia" w:ascii="仿宋" w:hAnsi="仿宋" w:eastAsia="仿宋" w:cs="仿宋"/>
          <w:kern w:val="2"/>
          <w:sz w:val="30"/>
          <w:szCs w:val="30"/>
          <w:highlight w:val="none"/>
          <w:lang w:val="en-US" w:eastAsia="zh-CN" w:bidi="ar"/>
        </w:rPr>
        <w:t>成果获</w:t>
      </w:r>
      <w:r>
        <w:rPr>
          <w:rFonts w:hint="eastAsia" w:ascii="仿宋" w:hAnsi="仿宋" w:eastAsia="仿宋" w:cs="仿宋"/>
          <w:b/>
          <w:bCs/>
          <w:kern w:val="2"/>
          <w:sz w:val="30"/>
          <w:szCs w:val="30"/>
          <w:highlight w:val="none"/>
          <w:lang w:val="en-US" w:eastAsia="zh-CN" w:bidi="ar"/>
        </w:rPr>
        <w:t>中国工程院院士谭建荣等组成的专家组的</w:t>
      </w:r>
      <w:r>
        <w:rPr>
          <w:rFonts w:hint="eastAsia" w:ascii="仿宋" w:hAnsi="仿宋" w:eastAsia="仿宋" w:cs="仿宋"/>
          <w:kern w:val="2"/>
          <w:sz w:val="30"/>
          <w:szCs w:val="30"/>
          <w:highlight w:val="none"/>
          <w:lang w:val="en-US" w:eastAsia="zh-CN" w:bidi="ar"/>
        </w:rPr>
        <w:t>高度评价。</w:t>
      </w:r>
    </w:p>
    <w:bookmarkEnd w:id="2"/>
    <w:p>
      <w:pPr>
        <w:keepNext w:val="0"/>
        <w:keepLines w:val="0"/>
        <w:pageBreakBefore w:val="0"/>
        <w:widowControl w:val="0"/>
        <w:kinsoku/>
        <w:wordWrap/>
        <w:overflowPunct/>
        <w:topLinePunct w:val="0"/>
        <w:bidi w:val="0"/>
        <w:adjustRightInd/>
        <w:snapToGrid/>
        <w:spacing w:line="600" w:lineRule="exact"/>
        <w:ind w:firstLine="600" w:firstLineChars="200"/>
        <w:jc w:val="both"/>
        <w:textAlignment w:val="auto"/>
        <w:rPr>
          <w:rFonts w:hint="eastAsia" w:ascii="仿宋" w:hAnsi="仿宋" w:eastAsia="仿宋" w:cs="仿宋"/>
          <w:kern w:val="2"/>
          <w:sz w:val="30"/>
          <w:szCs w:val="30"/>
          <w:highlight w:val="none"/>
          <w:lang w:val="en-US" w:eastAsia="zh-CN" w:bidi="ar"/>
        </w:rPr>
      </w:pPr>
      <w:r>
        <w:rPr>
          <w:rFonts w:hint="eastAsia" w:ascii="仿宋" w:hAnsi="仿宋" w:eastAsia="仿宋" w:cs="仿宋"/>
          <w:kern w:val="2"/>
          <w:sz w:val="30"/>
          <w:szCs w:val="30"/>
          <w:highlight w:val="none"/>
          <w:lang w:val="en-US" w:eastAsia="zh-CN" w:bidi="ar"/>
        </w:rPr>
        <w:t>成果不仅有效解决了云南电力零售市场建设难题，推动改善云南电力市场营商环境，还为国家售电侧改革推进提供了经典示范。</w:t>
      </w: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spacing w:before="91" w:line="219" w:lineRule="auto"/>
        <w:jc w:val="left"/>
        <w:outlineLvl w:val="0"/>
        <w:rPr>
          <w:rFonts w:ascii="宋体" w:hAnsi="宋体" w:eastAsia="宋体" w:cs="宋体"/>
          <w:color w:val="333333"/>
          <w:spacing w:val="-1"/>
          <w:sz w:val="28"/>
          <w:szCs w:val="28"/>
          <w14:textOutline w14:w="5094" w14:cap="flat" w14:cmpd="sng">
            <w14:solidFill>
              <w14:srgbClr w14:val="333333"/>
            </w14:solidFill>
            <w14:prstDash w14:val="solid"/>
            <w14:miter w14:val="0"/>
          </w14:textOutline>
        </w:rPr>
      </w:pPr>
      <w:r>
        <w:rPr>
          <w:rFonts w:hint="eastAsia" w:ascii="宋体" w:hAnsi="宋体" w:eastAsia="宋体" w:cs="宋体"/>
          <w:color w:val="333333"/>
          <w:spacing w:val="-1"/>
          <w:sz w:val="28"/>
          <w:szCs w:val="28"/>
          <w:lang w:val="en-US" w:eastAsia="zh-CN"/>
          <w14:textOutline w14:w="5094" w14:cap="flat" w14:cmpd="sng">
            <w14:solidFill>
              <w14:srgbClr w14:val="333333"/>
            </w14:solidFill>
            <w14:prstDash w14:val="solid"/>
            <w14:miter w14:val="0"/>
          </w14:textOutline>
        </w:rPr>
        <w:t>三</w:t>
      </w:r>
      <w:r>
        <w:rPr>
          <w:rFonts w:ascii="宋体" w:hAnsi="宋体" w:eastAsia="宋体" w:cs="宋体"/>
          <w:color w:val="333333"/>
          <w:spacing w:val="-1"/>
          <w:sz w:val="28"/>
          <w:szCs w:val="28"/>
          <w14:textOutline w14:w="5094" w14:cap="flat" w14:cmpd="sng">
            <w14:solidFill>
              <w14:srgbClr w14:val="333333"/>
            </w14:solidFill>
            <w14:prstDash w14:val="solid"/>
            <w14:miter w14:val="0"/>
          </w14:textOutline>
        </w:rPr>
        <w:t xml:space="preserve"> 、主要知识产权和标准规范等目录情况(含授权专利、 软件著作权 、标准 、论文 、论著、成果推广等 )</w:t>
      </w:r>
    </w:p>
    <w:p>
      <w:pPr>
        <w:tabs>
          <w:tab w:val="left" w:pos="589"/>
        </w:tabs>
        <w:spacing w:before="103" w:line="182" w:lineRule="auto"/>
        <w:rPr>
          <w:rFonts w:hint="eastAsia" w:ascii="宋体" w:hAnsi="宋体" w:eastAsia="宋体" w:cs="宋体"/>
          <w:spacing w:val="-2"/>
          <w:sz w:val="24"/>
          <w:szCs w:val="24"/>
          <w14:textOutline w14:w="4354" w14:cap="flat" w14:cmpd="sng">
            <w14:solidFill>
              <w14:srgbClr w14:val="000000"/>
            </w14:solidFill>
            <w14:prstDash w14:val="solid"/>
            <w14:miter w14:val="0"/>
          </w14:textOutline>
        </w:rPr>
      </w:pPr>
      <w:r>
        <w:rPr>
          <w:rFonts w:hint="eastAsia" w:ascii="宋体" w:hAnsi="宋体" w:eastAsia="宋体" w:cs="宋体"/>
          <w:spacing w:val="-2"/>
          <w:sz w:val="24"/>
          <w:szCs w:val="24"/>
          <w14:textOutline w14:w="4354" w14:cap="flat" w14:cmpd="sng">
            <w14:solidFill>
              <w14:srgbClr w14:val="000000"/>
            </w14:solidFill>
            <w14:prstDash w14:val="solid"/>
            <w14:miter w14:val="0"/>
          </w14:textOutline>
        </w:rPr>
        <w:tab/>
      </w:r>
      <w:r>
        <w:rPr>
          <w:rFonts w:hint="eastAsia" w:ascii="宋体" w:hAnsi="宋体" w:eastAsia="宋体" w:cs="宋体"/>
          <w:spacing w:val="-2"/>
          <w:sz w:val="24"/>
          <w:szCs w:val="24"/>
          <w:lang w:eastAsia="zh-CN"/>
          <w14:textOutline w14:w="4354" w14:cap="flat" w14:cmpd="sng">
            <w14:solidFill>
              <w14:srgbClr w14:val="000000"/>
            </w14:solidFill>
            <w14:prstDash w14:val="solid"/>
            <w14:miter w14:val="0"/>
          </w14:textOutline>
        </w:rPr>
        <w:t>（</w:t>
      </w:r>
      <w:r>
        <w:rPr>
          <w:rFonts w:hint="eastAsia" w:ascii="宋体" w:hAnsi="宋体" w:eastAsia="宋体" w:cs="宋体"/>
          <w:spacing w:val="-2"/>
          <w:sz w:val="24"/>
          <w:szCs w:val="24"/>
          <w14:textOutline w14:w="4354" w14:cap="flat" w14:cmpd="sng">
            <w14:solidFill>
              <w14:srgbClr w14:val="000000"/>
            </w14:solidFill>
            <w14:prstDash w14:val="solid"/>
            <w14:miter w14:val="0"/>
          </w14:textOutline>
        </w:rPr>
        <w:t>一</w:t>
      </w:r>
      <w:r>
        <w:rPr>
          <w:rFonts w:hint="eastAsia" w:ascii="宋体" w:hAnsi="宋体" w:eastAsia="宋体" w:cs="宋体"/>
          <w:spacing w:val="-2"/>
          <w:sz w:val="24"/>
          <w:szCs w:val="24"/>
          <w:lang w:eastAsia="zh-CN"/>
          <w14:textOutline w14:w="4354" w14:cap="flat" w14:cmpd="sng">
            <w14:solidFill>
              <w14:srgbClr w14:val="000000"/>
            </w14:solidFill>
            <w14:prstDash w14:val="solid"/>
            <w14:miter w14:val="0"/>
          </w14:textOutline>
        </w:rPr>
        <w:t>）</w:t>
      </w:r>
      <w:r>
        <w:rPr>
          <w:rFonts w:hint="eastAsia" w:ascii="宋体" w:hAnsi="宋体" w:eastAsia="宋体" w:cs="宋体"/>
          <w:spacing w:val="-2"/>
          <w:sz w:val="24"/>
          <w:szCs w:val="24"/>
          <w14:textOutline w14:w="4354" w14:cap="flat" w14:cmpd="sng">
            <w14:solidFill>
              <w14:srgbClr w14:val="000000"/>
            </w14:solidFill>
            <w14:prstDash w14:val="solid"/>
            <w14:miter w14:val="0"/>
          </w14:textOutline>
        </w:rPr>
        <w:t>授权专利</w:t>
      </w:r>
    </w:p>
    <w:p>
      <w:pPr>
        <w:spacing w:line="134" w:lineRule="exact"/>
      </w:pPr>
    </w:p>
    <w:tbl>
      <w:tblPr>
        <w:tblStyle w:val="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701"/>
        <w:gridCol w:w="1133"/>
        <w:gridCol w:w="1135"/>
        <w:gridCol w:w="1003"/>
        <w:gridCol w:w="1832"/>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675" w:type="dxa"/>
            <w:shd w:val="clear" w:color="auto" w:fill="auto"/>
            <w:vAlign w:val="center"/>
          </w:tcPr>
          <w:p>
            <w:pPr>
              <w:widowControl/>
              <w:jc w:val="center"/>
              <w:rPr>
                <w:rFonts w:hint="eastAsia" w:ascii="宋体" w:hAnsi="宋体" w:eastAsia="宋体" w:cs="宋体"/>
                <w:sz w:val="21"/>
                <w:szCs w:val="21"/>
                <w14:textOutline w14:w="3831" w14:cap="flat" w14:cmpd="sng">
                  <w14:solidFill>
                    <w14:srgbClr w14:val="000000"/>
                  </w14:solidFill>
                  <w14:prstDash w14:val="solid"/>
                  <w14:miter w14:val="0"/>
                </w14:textOutline>
              </w:rPr>
            </w:pPr>
            <w:r>
              <w:rPr>
                <w:rFonts w:hint="eastAsia" w:ascii="宋体" w:hAnsi="宋体" w:eastAsia="宋体" w:cs="宋体"/>
                <w:sz w:val="21"/>
                <w:szCs w:val="21"/>
                <w14:textOutline w14:w="3831" w14:cap="flat" w14:cmpd="sng">
                  <w14:solidFill>
                    <w14:srgbClr w14:val="000000"/>
                  </w14:solidFill>
                  <w14:prstDash w14:val="solid"/>
                  <w14:miter w14:val="0"/>
                </w14:textOutline>
              </w:rPr>
              <w:t>序号</w:t>
            </w:r>
          </w:p>
        </w:tc>
        <w:tc>
          <w:tcPr>
            <w:tcW w:w="1701" w:type="dxa"/>
            <w:shd w:val="clear" w:color="auto" w:fill="auto"/>
            <w:vAlign w:val="center"/>
          </w:tcPr>
          <w:p>
            <w:pPr>
              <w:widowControl/>
              <w:jc w:val="center"/>
              <w:rPr>
                <w:rFonts w:hint="eastAsia" w:ascii="宋体" w:hAnsi="宋体" w:eastAsia="宋体" w:cs="宋体"/>
                <w:sz w:val="21"/>
                <w:szCs w:val="21"/>
                <w14:textOutline w14:w="3831" w14:cap="flat" w14:cmpd="sng">
                  <w14:solidFill>
                    <w14:srgbClr w14:val="000000"/>
                  </w14:solidFill>
                  <w14:prstDash w14:val="solid"/>
                  <w14:miter w14:val="0"/>
                </w14:textOutline>
              </w:rPr>
            </w:pPr>
            <w:r>
              <w:rPr>
                <w:rFonts w:hint="eastAsia" w:ascii="宋体" w:hAnsi="宋体" w:eastAsia="宋体" w:cs="宋体"/>
                <w:sz w:val="21"/>
                <w:szCs w:val="21"/>
                <w14:textOutline w14:w="3831" w14:cap="flat" w14:cmpd="sng">
                  <w14:solidFill>
                    <w14:srgbClr w14:val="000000"/>
                  </w14:solidFill>
                  <w14:prstDash w14:val="solid"/>
                  <w14:miter w14:val="0"/>
                </w14:textOutline>
              </w:rPr>
              <w:t>专利名称</w:t>
            </w:r>
          </w:p>
        </w:tc>
        <w:tc>
          <w:tcPr>
            <w:tcW w:w="1133" w:type="dxa"/>
            <w:shd w:val="clear" w:color="auto" w:fill="auto"/>
            <w:vAlign w:val="center"/>
          </w:tcPr>
          <w:p>
            <w:pPr>
              <w:widowControl/>
              <w:jc w:val="center"/>
              <w:rPr>
                <w:rFonts w:hint="eastAsia" w:ascii="宋体" w:hAnsi="宋体" w:eastAsia="宋体" w:cs="宋体"/>
                <w:sz w:val="21"/>
                <w:szCs w:val="21"/>
                <w14:textOutline w14:w="3831" w14:cap="flat" w14:cmpd="sng">
                  <w14:solidFill>
                    <w14:srgbClr w14:val="000000"/>
                  </w14:solidFill>
                  <w14:prstDash w14:val="solid"/>
                  <w14:miter w14:val="0"/>
                </w14:textOutline>
              </w:rPr>
            </w:pPr>
            <w:r>
              <w:rPr>
                <w:rFonts w:hint="eastAsia" w:ascii="宋体" w:hAnsi="宋体" w:eastAsia="宋体" w:cs="宋体"/>
                <w:sz w:val="21"/>
                <w:szCs w:val="21"/>
                <w14:textOutline w14:w="3831" w14:cap="flat" w14:cmpd="sng">
                  <w14:solidFill>
                    <w14:srgbClr w14:val="000000"/>
                  </w14:solidFill>
                  <w14:prstDash w14:val="solid"/>
                  <w14:miter w14:val="0"/>
                </w14:textOutline>
              </w:rPr>
              <w:t>专利类型</w:t>
            </w:r>
          </w:p>
        </w:tc>
        <w:tc>
          <w:tcPr>
            <w:tcW w:w="1135" w:type="dxa"/>
            <w:shd w:val="clear" w:color="auto" w:fill="auto"/>
            <w:vAlign w:val="center"/>
          </w:tcPr>
          <w:p>
            <w:pPr>
              <w:widowControl/>
              <w:jc w:val="center"/>
              <w:rPr>
                <w:rFonts w:hint="eastAsia" w:ascii="宋体" w:hAnsi="宋体" w:eastAsia="宋体" w:cs="宋体"/>
                <w:sz w:val="21"/>
                <w:szCs w:val="21"/>
                <w14:textOutline w14:w="3831" w14:cap="flat" w14:cmpd="sng">
                  <w14:solidFill>
                    <w14:srgbClr w14:val="000000"/>
                  </w14:solidFill>
                  <w14:prstDash w14:val="solid"/>
                  <w14:miter w14:val="0"/>
                </w14:textOutline>
              </w:rPr>
            </w:pPr>
            <w:r>
              <w:rPr>
                <w:rFonts w:hint="eastAsia" w:ascii="宋体" w:hAnsi="宋体" w:eastAsia="宋体" w:cs="宋体"/>
                <w:sz w:val="21"/>
                <w:szCs w:val="21"/>
                <w14:textOutline w14:w="3831" w14:cap="flat" w14:cmpd="sng">
                  <w14:solidFill>
                    <w14:srgbClr w14:val="000000"/>
                  </w14:solidFill>
                  <w14:prstDash w14:val="solid"/>
                  <w14:miter w14:val="0"/>
                </w14:textOutline>
              </w:rPr>
              <w:t>申请号/专利号</w:t>
            </w:r>
          </w:p>
        </w:tc>
        <w:tc>
          <w:tcPr>
            <w:tcW w:w="1003" w:type="dxa"/>
            <w:shd w:val="clear" w:color="auto" w:fill="auto"/>
            <w:vAlign w:val="center"/>
          </w:tcPr>
          <w:p>
            <w:pPr>
              <w:widowControl/>
              <w:jc w:val="center"/>
              <w:rPr>
                <w:rFonts w:hint="eastAsia" w:ascii="宋体" w:hAnsi="宋体" w:eastAsia="宋体" w:cs="宋体"/>
                <w:sz w:val="21"/>
                <w:szCs w:val="21"/>
                <w14:textOutline w14:w="3831" w14:cap="flat" w14:cmpd="sng">
                  <w14:solidFill>
                    <w14:srgbClr w14:val="000000"/>
                  </w14:solidFill>
                  <w14:prstDash w14:val="solid"/>
                  <w14:miter w14:val="0"/>
                </w14:textOutline>
              </w:rPr>
            </w:pPr>
            <w:r>
              <w:rPr>
                <w:rFonts w:hint="eastAsia" w:ascii="宋体" w:hAnsi="宋体" w:eastAsia="宋体" w:cs="宋体"/>
                <w:sz w:val="21"/>
                <w:szCs w:val="21"/>
                <w14:textOutline w14:w="3831" w14:cap="flat" w14:cmpd="sng">
                  <w14:solidFill>
                    <w14:srgbClr w14:val="000000"/>
                  </w14:solidFill>
                  <w14:prstDash w14:val="solid"/>
                  <w14:miter w14:val="0"/>
                </w14:textOutline>
              </w:rPr>
              <w:t>授权日期</w:t>
            </w:r>
          </w:p>
        </w:tc>
        <w:tc>
          <w:tcPr>
            <w:tcW w:w="1832" w:type="dxa"/>
            <w:shd w:val="clear" w:color="auto" w:fill="auto"/>
            <w:vAlign w:val="center"/>
          </w:tcPr>
          <w:p>
            <w:pPr>
              <w:widowControl/>
              <w:jc w:val="center"/>
              <w:rPr>
                <w:rFonts w:hint="eastAsia" w:ascii="宋体" w:hAnsi="宋体" w:eastAsia="宋体" w:cs="宋体"/>
                <w:sz w:val="21"/>
                <w:szCs w:val="21"/>
                <w14:textOutline w14:w="3831" w14:cap="flat" w14:cmpd="sng">
                  <w14:solidFill>
                    <w14:srgbClr w14:val="000000"/>
                  </w14:solidFill>
                  <w14:prstDash w14:val="solid"/>
                  <w14:miter w14:val="0"/>
                </w14:textOutline>
              </w:rPr>
            </w:pPr>
            <w:r>
              <w:rPr>
                <w:rFonts w:hint="eastAsia" w:ascii="宋体" w:hAnsi="宋体" w:eastAsia="宋体" w:cs="宋体"/>
                <w:sz w:val="21"/>
                <w:szCs w:val="21"/>
                <w14:textOutline w14:w="3831" w14:cap="flat" w14:cmpd="sng">
                  <w14:solidFill>
                    <w14:srgbClr w14:val="000000"/>
                  </w14:solidFill>
                  <w14:prstDash w14:val="solid"/>
                  <w14:miter w14:val="0"/>
                </w14:textOutline>
              </w:rPr>
              <w:t>发明人</w:t>
            </w:r>
          </w:p>
        </w:tc>
        <w:tc>
          <w:tcPr>
            <w:tcW w:w="1043" w:type="dxa"/>
            <w:shd w:val="clear" w:color="auto" w:fill="auto"/>
            <w:vAlign w:val="center"/>
          </w:tcPr>
          <w:p>
            <w:pPr>
              <w:widowControl/>
              <w:jc w:val="center"/>
              <w:rPr>
                <w:rFonts w:hint="eastAsia" w:ascii="宋体" w:hAnsi="宋体" w:eastAsia="宋体" w:cs="宋体"/>
                <w:sz w:val="21"/>
                <w:szCs w:val="21"/>
                <w14:textOutline w14:w="3831" w14:cap="flat" w14:cmpd="sng">
                  <w14:solidFill>
                    <w14:srgbClr w14:val="000000"/>
                  </w14:solidFill>
                  <w14:prstDash w14:val="solid"/>
                  <w14:miter w14:val="0"/>
                </w14:textOutline>
              </w:rPr>
            </w:pPr>
            <w:r>
              <w:rPr>
                <w:rFonts w:hint="eastAsia" w:ascii="宋体" w:hAnsi="宋体" w:eastAsia="宋体" w:cs="宋体"/>
                <w:sz w:val="21"/>
                <w:szCs w:val="21"/>
                <w14:textOutline w14:w="3831" w14:cap="flat" w14:cmpd="sng">
                  <w14:solidFill>
                    <w14:srgbClr w14:val="000000"/>
                  </w14:solidFill>
                  <w14:prstDash w14:val="solid"/>
                  <w14:miter w14:val="0"/>
                </w14:textOutline>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675" w:type="dxa"/>
            <w:shd w:val="clear" w:color="auto" w:fill="auto"/>
            <w:vAlign w:val="center"/>
          </w:tcPr>
          <w:p>
            <w:pPr>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701" w:type="dxa"/>
            <w:shd w:val="clear" w:color="auto" w:fill="auto"/>
            <w:vAlign w:val="center"/>
          </w:tcPr>
          <w:p>
            <w:pPr>
              <w:spacing w:before="75" w:line="279" w:lineRule="auto"/>
              <w:ind w:left="113" w:right="104" w:firstLine="19"/>
              <w:rPr>
                <w:rFonts w:ascii="宋体" w:hAnsi="宋体" w:eastAsia="宋体" w:cs="宋体"/>
                <w:spacing w:val="2"/>
                <w:sz w:val="21"/>
                <w:szCs w:val="21"/>
              </w:rPr>
            </w:pPr>
            <w:r>
              <w:rPr>
                <w:rFonts w:hint="eastAsia" w:ascii="宋体" w:hAnsi="宋体" w:eastAsia="宋体" w:cs="宋体"/>
                <w:spacing w:val="2"/>
                <w:sz w:val="21"/>
                <w:szCs w:val="21"/>
              </w:rPr>
              <w:t>电力交易总线任务流量监视方法及装置、拦截器</w:t>
            </w:r>
          </w:p>
        </w:tc>
        <w:tc>
          <w:tcPr>
            <w:tcW w:w="1133" w:type="dxa"/>
            <w:shd w:val="clear" w:color="auto" w:fill="auto"/>
            <w:vAlign w:val="center"/>
          </w:tcPr>
          <w:p>
            <w:pPr>
              <w:spacing w:before="75" w:line="279" w:lineRule="auto"/>
              <w:ind w:left="113" w:right="104" w:firstLine="19"/>
              <w:rPr>
                <w:rFonts w:ascii="宋体" w:hAnsi="宋体" w:eastAsia="宋体" w:cs="宋体"/>
                <w:spacing w:val="2"/>
                <w:sz w:val="21"/>
                <w:szCs w:val="21"/>
              </w:rPr>
            </w:pPr>
            <w:r>
              <w:rPr>
                <w:rFonts w:hint="eastAsia" w:ascii="宋体" w:hAnsi="宋体" w:eastAsia="宋体" w:cs="宋体"/>
                <w:spacing w:val="2"/>
                <w:sz w:val="21"/>
                <w:szCs w:val="21"/>
              </w:rPr>
              <w:t>发明专利</w:t>
            </w:r>
          </w:p>
        </w:tc>
        <w:tc>
          <w:tcPr>
            <w:tcW w:w="1135" w:type="dxa"/>
            <w:shd w:val="clear" w:color="auto" w:fill="auto"/>
            <w:vAlign w:val="center"/>
          </w:tcPr>
          <w:p>
            <w:pPr>
              <w:spacing w:before="75" w:line="279" w:lineRule="auto"/>
              <w:ind w:left="113" w:right="104" w:firstLine="19"/>
              <w:rPr>
                <w:rFonts w:ascii="宋体" w:hAnsi="宋体" w:eastAsia="宋体" w:cs="宋体"/>
                <w:spacing w:val="2"/>
                <w:sz w:val="21"/>
                <w:szCs w:val="21"/>
              </w:rPr>
            </w:pPr>
            <w:r>
              <w:rPr>
                <w:rFonts w:hint="eastAsia" w:ascii="宋体" w:hAnsi="宋体" w:eastAsia="宋体" w:cs="宋体"/>
                <w:spacing w:val="2"/>
                <w:sz w:val="21"/>
                <w:szCs w:val="21"/>
              </w:rPr>
              <w:t>ZL 2018 1 0861813.8</w:t>
            </w:r>
          </w:p>
        </w:tc>
        <w:tc>
          <w:tcPr>
            <w:tcW w:w="1003" w:type="dxa"/>
            <w:shd w:val="clear" w:color="auto" w:fill="auto"/>
            <w:vAlign w:val="center"/>
          </w:tcPr>
          <w:p>
            <w:pPr>
              <w:spacing w:before="75" w:line="279" w:lineRule="auto"/>
              <w:ind w:left="113" w:right="104" w:firstLine="19"/>
              <w:rPr>
                <w:rFonts w:ascii="宋体" w:hAnsi="宋体" w:eastAsia="宋体" w:cs="宋体"/>
                <w:spacing w:val="2"/>
                <w:sz w:val="21"/>
                <w:szCs w:val="21"/>
              </w:rPr>
            </w:pPr>
            <w:r>
              <w:rPr>
                <w:rFonts w:hint="eastAsia" w:ascii="宋体" w:hAnsi="宋体" w:eastAsia="宋体" w:cs="宋体"/>
                <w:spacing w:val="2"/>
                <w:sz w:val="21"/>
                <w:szCs w:val="21"/>
              </w:rPr>
              <w:t>2021.11.12</w:t>
            </w:r>
          </w:p>
        </w:tc>
        <w:tc>
          <w:tcPr>
            <w:tcW w:w="1832" w:type="dxa"/>
            <w:shd w:val="clear" w:color="auto" w:fill="auto"/>
            <w:vAlign w:val="center"/>
          </w:tcPr>
          <w:p>
            <w:pPr>
              <w:spacing w:before="75" w:line="279" w:lineRule="auto"/>
              <w:ind w:left="113" w:right="104" w:firstLine="19"/>
              <w:rPr>
                <w:rFonts w:ascii="宋体" w:hAnsi="宋体" w:eastAsia="宋体" w:cs="宋体"/>
                <w:spacing w:val="2"/>
                <w:sz w:val="21"/>
                <w:szCs w:val="21"/>
              </w:rPr>
            </w:pPr>
            <w:r>
              <w:rPr>
                <w:rFonts w:hint="eastAsia" w:ascii="宋体" w:hAnsi="宋体" w:eastAsia="宋体" w:cs="宋体"/>
                <w:spacing w:val="2"/>
                <w:sz w:val="21"/>
                <w:szCs w:val="21"/>
              </w:rPr>
              <w:t>蔡华强；杨强；严明辉；陈然；王睿琛；吕志强；孙恒一；高航；孙永军；邹贤</w:t>
            </w:r>
          </w:p>
        </w:tc>
        <w:tc>
          <w:tcPr>
            <w:tcW w:w="1043" w:type="dxa"/>
            <w:shd w:val="clear" w:color="auto" w:fill="auto"/>
            <w:vAlign w:val="center"/>
          </w:tcPr>
          <w:p>
            <w:pPr>
              <w:spacing w:before="75" w:line="279" w:lineRule="auto"/>
              <w:ind w:left="113" w:right="104" w:firstLine="19"/>
              <w:rPr>
                <w:rFonts w:ascii="宋体" w:hAnsi="宋体" w:eastAsia="宋体" w:cs="宋体"/>
                <w:spacing w:val="2"/>
                <w:sz w:val="21"/>
                <w:szCs w:val="21"/>
              </w:rPr>
            </w:pPr>
            <w:r>
              <w:rPr>
                <w:rFonts w:hint="eastAsia" w:ascii="宋体" w:hAnsi="宋体" w:eastAsia="宋体" w:cs="宋体"/>
                <w:spacing w:val="2"/>
                <w:sz w:val="21"/>
                <w:szCs w:val="21"/>
              </w:rPr>
              <w:t>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jc w:val="center"/>
        </w:trPr>
        <w:tc>
          <w:tcPr>
            <w:tcW w:w="675"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701" w:type="dxa"/>
            <w:shd w:val="clear" w:color="auto" w:fill="auto"/>
            <w:vAlign w:val="center"/>
          </w:tcPr>
          <w:p>
            <w:pPr>
              <w:spacing w:before="75" w:line="279" w:lineRule="auto"/>
              <w:ind w:left="113" w:right="104" w:firstLine="19"/>
              <w:rPr>
                <w:rFonts w:ascii="宋体" w:hAnsi="宋体" w:eastAsia="宋体" w:cs="宋体"/>
                <w:spacing w:val="2"/>
                <w:sz w:val="21"/>
                <w:szCs w:val="21"/>
              </w:rPr>
            </w:pPr>
            <w:r>
              <w:rPr>
                <w:rFonts w:hint="eastAsia" w:ascii="宋体" w:hAnsi="宋体" w:eastAsia="宋体" w:cs="宋体"/>
                <w:spacing w:val="2"/>
                <w:sz w:val="21"/>
                <w:szCs w:val="21"/>
              </w:rPr>
              <w:t>一种实时收取电力交易服务费的收费系统及方法</w:t>
            </w:r>
          </w:p>
        </w:tc>
        <w:tc>
          <w:tcPr>
            <w:tcW w:w="1133" w:type="dxa"/>
            <w:shd w:val="clear" w:color="auto" w:fill="auto"/>
            <w:vAlign w:val="center"/>
          </w:tcPr>
          <w:p>
            <w:pPr>
              <w:spacing w:before="75" w:line="279" w:lineRule="auto"/>
              <w:ind w:left="113" w:right="104" w:firstLine="19"/>
              <w:rPr>
                <w:rFonts w:ascii="宋体" w:hAnsi="宋体" w:eastAsia="宋体" w:cs="宋体"/>
                <w:spacing w:val="2"/>
                <w:sz w:val="21"/>
                <w:szCs w:val="21"/>
              </w:rPr>
            </w:pPr>
            <w:r>
              <w:rPr>
                <w:rFonts w:hint="eastAsia" w:ascii="宋体" w:hAnsi="宋体" w:eastAsia="宋体" w:cs="宋体"/>
                <w:spacing w:val="2"/>
                <w:sz w:val="21"/>
                <w:szCs w:val="21"/>
              </w:rPr>
              <w:t>发明专利</w:t>
            </w:r>
          </w:p>
        </w:tc>
        <w:tc>
          <w:tcPr>
            <w:tcW w:w="1135" w:type="dxa"/>
            <w:shd w:val="clear" w:color="auto" w:fill="auto"/>
            <w:vAlign w:val="center"/>
          </w:tcPr>
          <w:p>
            <w:pPr>
              <w:spacing w:before="75" w:line="279" w:lineRule="auto"/>
              <w:ind w:left="113" w:right="104" w:firstLine="19"/>
              <w:rPr>
                <w:rFonts w:ascii="宋体" w:hAnsi="宋体" w:eastAsia="宋体" w:cs="宋体"/>
                <w:spacing w:val="2"/>
                <w:sz w:val="21"/>
                <w:szCs w:val="21"/>
              </w:rPr>
            </w:pPr>
            <w:r>
              <w:rPr>
                <w:rFonts w:hint="eastAsia" w:ascii="宋体" w:hAnsi="宋体" w:eastAsia="宋体" w:cs="宋体"/>
                <w:spacing w:val="2"/>
                <w:sz w:val="21"/>
                <w:szCs w:val="21"/>
              </w:rPr>
              <w:t>ZL 2018 1 0542605.1</w:t>
            </w:r>
          </w:p>
        </w:tc>
        <w:tc>
          <w:tcPr>
            <w:tcW w:w="1003" w:type="dxa"/>
            <w:shd w:val="clear" w:color="auto" w:fill="auto"/>
            <w:vAlign w:val="center"/>
          </w:tcPr>
          <w:p>
            <w:pPr>
              <w:spacing w:before="75" w:line="279" w:lineRule="auto"/>
              <w:ind w:left="113" w:right="104" w:firstLine="19"/>
              <w:rPr>
                <w:rFonts w:ascii="宋体" w:hAnsi="宋体" w:eastAsia="宋体" w:cs="宋体"/>
                <w:spacing w:val="2"/>
                <w:sz w:val="21"/>
                <w:szCs w:val="21"/>
              </w:rPr>
            </w:pPr>
            <w:r>
              <w:rPr>
                <w:rFonts w:hint="eastAsia" w:ascii="宋体" w:hAnsi="宋体" w:eastAsia="宋体" w:cs="宋体"/>
                <w:spacing w:val="2"/>
                <w:sz w:val="21"/>
                <w:szCs w:val="21"/>
              </w:rPr>
              <w:t>2018.05.30</w:t>
            </w:r>
          </w:p>
        </w:tc>
        <w:tc>
          <w:tcPr>
            <w:tcW w:w="1832" w:type="dxa"/>
            <w:shd w:val="clear" w:color="auto" w:fill="auto"/>
            <w:vAlign w:val="center"/>
          </w:tcPr>
          <w:p>
            <w:pPr>
              <w:spacing w:before="75" w:line="279" w:lineRule="auto"/>
              <w:ind w:left="113" w:right="104" w:firstLine="19"/>
              <w:rPr>
                <w:rFonts w:ascii="宋体" w:hAnsi="宋体" w:eastAsia="宋体" w:cs="宋体"/>
                <w:spacing w:val="2"/>
                <w:sz w:val="21"/>
                <w:szCs w:val="21"/>
              </w:rPr>
            </w:pPr>
            <w:r>
              <w:rPr>
                <w:rFonts w:hint="eastAsia" w:ascii="宋体" w:hAnsi="宋体" w:eastAsia="宋体" w:cs="宋体"/>
                <w:spacing w:val="2"/>
                <w:sz w:val="21"/>
                <w:szCs w:val="21"/>
              </w:rPr>
              <w:t>孙永军；余乐；费文旌；陈然；邢玉辉；王睿琛；高航；孙恒一；邹贤；赵伟华；唐维；经文馨</w:t>
            </w:r>
          </w:p>
        </w:tc>
        <w:tc>
          <w:tcPr>
            <w:tcW w:w="1043" w:type="dxa"/>
            <w:shd w:val="clear" w:color="auto" w:fill="auto"/>
            <w:vAlign w:val="center"/>
          </w:tcPr>
          <w:p>
            <w:pPr>
              <w:spacing w:before="75" w:line="279" w:lineRule="auto"/>
              <w:ind w:left="113" w:right="104" w:firstLine="19"/>
              <w:rPr>
                <w:rFonts w:ascii="宋体" w:hAnsi="宋体" w:eastAsia="宋体" w:cs="宋体"/>
                <w:spacing w:val="2"/>
                <w:sz w:val="21"/>
                <w:szCs w:val="21"/>
              </w:rPr>
            </w:pPr>
            <w:r>
              <w:rPr>
                <w:rFonts w:hint="eastAsia" w:ascii="宋体" w:hAnsi="宋体" w:eastAsia="宋体" w:cs="宋体"/>
                <w:spacing w:val="2"/>
                <w:sz w:val="21"/>
                <w:szCs w:val="21"/>
              </w:rPr>
              <w:t>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jc w:val="center"/>
        </w:trPr>
        <w:tc>
          <w:tcPr>
            <w:tcW w:w="675"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1701" w:type="dxa"/>
            <w:shd w:val="clear" w:color="auto" w:fill="auto"/>
            <w:vAlign w:val="center"/>
          </w:tcPr>
          <w:p>
            <w:pPr>
              <w:spacing w:before="75" w:line="279" w:lineRule="auto"/>
              <w:ind w:left="113" w:right="104" w:firstLine="19"/>
              <w:rPr>
                <w:rFonts w:ascii="宋体" w:hAnsi="宋体" w:eastAsia="宋体" w:cs="宋体"/>
                <w:spacing w:val="2"/>
                <w:sz w:val="21"/>
                <w:szCs w:val="21"/>
              </w:rPr>
            </w:pPr>
            <w:r>
              <w:rPr>
                <w:rFonts w:hint="eastAsia" w:ascii="宋体" w:hAnsi="宋体" w:eastAsia="宋体" w:cs="宋体"/>
                <w:spacing w:val="2"/>
                <w:sz w:val="21"/>
                <w:szCs w:val="21"/>
              </w:rPr>
              <w:t>一种电力双边交易服务费收费系统及方法</w:t>
            </w:r>
          </w:p>
        </w:tc>
        <w:tc>
          <w:tcPr>
            <w:tcW w:w="1133" w:type="dxa"/>
            <w:shd w:val="clear" w:color="auto" w:fill="auto"/>
            <w:vAlign w:val="center"/>
          </w:tcPr>
          <w:p>
            <w:pPr>
              <w:spacing w:before="75" w:line="279" w:lineRule="auto"/>
              <w:ind w:left="113" w:right="104" w:firstLine="19"/>
              <w:rPr>
                <w:rFonts w:ascii="宋体" w:hAnsi="宋体" w:eastAsia="宋体" w:cs="宋体"/>
                <w:spacing w:val="2"/>
                <w:sz w:val="21"/>
                <w:szCs w:val="21"/>
              </w:rPr>
            </w:pPr>
            <w:r>
              <w:rPr>
                <w:rFonts w:hint="eastAsia" w:ascii="宋体" w:hAnsi="宋体" w:eastAsia="宋体" w:cs="宋体"/>
                <w:spacing w:val="2"/>
                <w:sz w:val="21"/>
                <w:szCs w:val="21"/>
              </w:rPr>
              <w:t>发明专利</w:t>
            </w:r>
          </w:p>
        </w:tc>
        <w:tc>
          <w:tcPr>
            <w:tcW w:w="1135" w:type="dxa"/>
            <w:shd w:val="clear" w:color="auto" w:fill="auto"/>
            <w:vAlign w:val="center"/>
          </w:tcPr>
          <w:p>
            <w:pPr>
              <w:spacing w:before="75" w:line="279" w:lineRule="auto"/>
              <w:ind w:left="113" w:right="104" w:firstLine="19"/>
              <w:rPr>
                <w:rFonts w:ascii="宋体" w:hAnsi="宋体" w:eastAsia="宋体" w:cs="宋体"/>
                <w:spacing w:val="2"/>
                <w:sz w:val="21"/>
                <w:szCs w:val="21"/>
              </w:rPr>
            </w:pPr>
            <w:r>
              <w:rPr>
                <w:rFonts w:hint="eastAsia" w:ascii="宋体" w:hAnsi="宋体" w:eastAsia="宋体" w:cs="宋体"/>
                <w:spacing w:val="2"/>
                <w:sz w:val="21"/>
                <w:szCs w:val="21"/>
              </w:rPr>
              <w:t>ZL 2018 1 0566047.2</w:t>
            </w:r>
          </w:p>
        </w:tc>
        <w:tc>
          <w:tcPr>
            <w:tcW w:w="1003" w:type="dxa"/>
            <w:shd w:val="clear" w:color="auto" w:fill="auto"/>
            <w:vAlign w:val="center"/>
          </w:tcPr>
          <w:p>
            <w:pPr>
              <w:spacing w:before="75" w:line="279" w:lineRule="auto"/>
              <w:ind w:left="113" w:right="104" w:firstLine="19"/>
              <w:rPr>
                <w:rFonts w:ascii="宋体" w:hAnsi="宋体" w:eastAsia="宋体" w:cs="宋体"/>
                <w:spacing w:val="2"/>
                <w:sz w:val="21"/>
                <w:szCs w:val="21"/>
              </w:rPr>
            </w:pPr>
            <w:r>
              <w:rPr>
                <w:rFonts w:hint="eastAsia" w:ascii="宋体" w:hAnsi="宋体" w:eastAsia="宋体" w:cs="宋体"/>
                <w:spacing w:val="2"/>
                <w:sz w:val="21"/>
                <w:szCs w:val="21"/>
              </w:rPr>
              <w:t>2018.06.04</w:t>
            </w:r>
          </w:p>
        </w:tc>
        <w:tc>
          <w:tcPr>
            <w:tcW w:w="1832" w:type="dxa"/>
            <w:shd w:val="clear" w:color="auto" w:fill="auto"/>
            <w:vAlign w:val="center"/>
          </w:tcPr>
          <w:p>
            <w:pPr>
              <w:spacing w:before="75" w:line="279" w:lineRule="auto"/>
              <w:ind w:left="113" w:right="104" w:firstLine="19"/>
              <w:rPr>
                <w:rFonts w:ascii="宋体" w:hAnsi="宋体" w:eastAsia="宋体" w:cs="宋体"/>
                <w:spacing w:val="2"/>
                <w:sz w:val="21"/>
                <w:szCs w:val="21"/>
              </w:rPr>
            </w:pPr>
            <w:r>
              <w:rPr>
                <w:rFonts w:hint="eastAsia" w:ascii="宋体" w:hAnsi="宋体" w:eastAsia="宋体" w:cs="宋体"/>
                <w:spacing w:val="2"/>
                <w:sz w:val="21"/>
                <w:szCs w:val="21"/>
              </w:rPr>
              <w:t>邢玉辉；余乐；费文旌；孙永军；马高权；周娜；张茂林；刘双全；唐维；经文馨；杨丽萍</w:t>
            </w:r>
          </w:p>
        </w:tc>
        <w:tc>
          <w:tcPr>
            <w:tcW w:w="1043" w:type="dxa"/>
            <w:shd w:val="clear" w:color="auto" w:fill="auto"/>
            <w:vAlign w:val="center"/>
          </w:tcPr>
          <w:p>
            <w:pPr>
              <w:spacing w:before="75" w:line="279" w:lineRule="auto"/>
              <w:ind w:left="113" w:right="104" w:firstLine="19"/>
              <w:rPr>
                <w:rFonts w:ascii="宋体" w:hAnsi="宋体" w:eastAsia="宋体" w:cs="宋体"/>
                <w:spacing w:val="2"/>
                <w:sz w:val="21"/>
                <w:szCs w:val="21"/>
              </w:rPr>
            </w:pPr>
            <w:r>
              <w:rPr>
                <w:rFonts w:hint="eastAsia" w:ascii="宋体" w:hAnsi="宋体" w:eastAsia="宋体" w:cs="宋体"/>
                <w:spacing w:val="2"/>
                <w:sz w:val="21"/>
                <w:szCs w:val="21"/>
              </w:rPr>
              <w:t>授权</w:t>
            </w:r>
          </w:p>
        </w:tc>
      </w:tr>
    </w:tbl>
    <w:p>
      <w:pPr>
        <w:sectPr>
          <w:footerReference r:id="rId3" w:type="default"/>
          <w:pgSz w:w="11907" w:h="16839"/>
          <w:pgMar w:top="1431" w:right="1684" w:bottom="1151" w:left="1687" w:header="0" w:footer="986" w:gutter="0"/>
          <w:cols w:space="720" w:num="1"/>
        </w:sectPr>
      </w:pPr>
    </w:p>
    <w:p>
      <w:pPr>
        <w:tabs>
          <w:tab w:val="left" w:pos="589"/>
        </w:tabs>
        <w:spacing w:before="103" w:line="182" w:lineRule="auto"/>
        <w:rPr>
          <w:rFonts w:ascii="宋体" w:hAnsi="宋体" w:eastAsia="宋体" w:cs="宋体"/>
          <w:sz w:val="24"/>
          <w:szCs w:val="24"/>
        </w:rPr>
      </w:pPr>
      <w:r>
        <w:rPr>
          <w:rFonts w:ascii="Microsoft JhengHei" w:hAnsi="Microsoft JhengHei" w:eastAsia="Microsoft JhengHei" w:cs="Microsoft JhengHei"/>
          <w:b/>
          <w:bCs/>
          <w:sz w:val="24"/>
          <w:szCs w:val="24"/>
        </w:rPr>
        <w:tab/>
      </w:r>
      <w:r>
        <w:rPr>
          <w:rFonts w:ascii="Microsoft JhengHei" w:hAnsi="Microsoft JhengHei" w:eastAsia="Microsoft JhengHei" w:cs="Microsoft JhengHei"/>
          <w:b/>
          <w:bCs/>
          <w:spacing w:val="-2"/>
          <w:sz w:val="24"/>
          <w:szCs w:val="24"/>
        </w:rPr>
        <w:t>(</w:t>
      </w:r>
      <w:r>
        <w:rPr>
          <w:rFonts w:ascii="Microsoft JhengHei" w:hAnsi="Microsoft JhengHei" w:eastAsia="Microsoft JhengHei" w:cs="Microsoft JhengHei"/>
          <w:spacing w:val="-2"/>
          <w:sz w:val="24"/>
          <w:szCs w:val="24"/>
        </w:rPr>
        <w:t xml:space="preserve"> </w:t>
      </w:r>
      <w:r>
        <w:rPr>
          <w:rFonts w:ascii="宋体" w:hAnsi="宋体" w:eastAsia="宋体" w:cs="宋体"/>
          <w:spacing w:val="-2"/>
          <w:sz w:val="24"/>
          <w:szCs w:val="24"/>
          <w14:textOutline w14:w="4354" w14:cap="flat" w14:cmpd="sng">
            <w14:solidFill>
              <w14:srgbClr w14:val="000000"/>
            </w14:solidFill>
            <w14:prstDash w14:val="solid"/>
            <w14:miter w14:val="0"/>
          </w14:textOutline>
        </w:rPr>
        <w:t>二</w:t>
      </w:r>
      <w:r>
        <w:rPr>
          <w:rFonts w:ascii="宋体" w:hAnsi="宋体" w:eastAsia="宋体" w:cs="宋体"/>
          <w:spacing w:val="-2"/>
          <w:sz w:val="24"/>
          <w:szCs w:val="24"/>
        </w:rPr>
        <w:t xml:space="preserve"> </w:t>
      </w:r>
      <w:r>
        <w:rPr>
          <w:rFonts w:ascii="Microsoft JhengHei" w:hAnsi="Microsoft JhengHei" w:eastAsia="Microsoft JhengHei" w:cs="Microsoft JhengHei"/>
          <w:b/>
          <w:bCs/>
          <w:spacing w:val="-2"/>
          <w:sz w:val="24"/>
          <w:szCs w:val="24"/>
        </w:rPr>
        <w:t>)</w:t>
      </w:r>
      <w:r>
        <w:rPr>
          <w:rFonts w:ascii="Microsoft JhengHei" w:hAnsi="Microsoft JhengHei" w:eastAsia="Microsoft JhengHei" w:cs="Microsoft JhengHei"/>
          <w:spacing w:val="-2"/>
          <w:sz w:val="24"/>
          <w:szCs w:val="24"/>
        </w:rPr>
        <w:t xml:space="preserve"> </w:t>
      </w:r>
      <w:r>
        <w:rPr>
          <w:rFonts w:hint="eastAsia" w:ascii="宋体" w:hAnsi="宋体" w:eastAsia="宋体" w:cs="宋体"/>
          <w:spacing w:val="-2"/>
          <w:sz w:val="24"/>
          <w:szCs w:val="24"/>
          <w14:textOutline w14:w="4354" w14:cap="flat" w14:cmpd="sng">
            <w14:solidFill>
              <w14:srgbClr w14:val="000000"/>
            </w14:solidFill>
            <w14:prstDash w14:val="solid"/>
            <w14:miter w14:val="0"/>
          </w14:textOutline>
        </w:rPr>
        <w:t>软件著作权</w:t>
      </w:r>
    </w:p>
    <w:p/>
    <w:p>
      <w:pPr>
        <w:spacing w:line="91" w:lineRule="auto"/>
        <w:rPr>
          <w:rFonts w:ascii="Arial"/>
          <w:sz w:val="2"/>
        </w:rPr>
      </w:pP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9"/>
        <w:gridCol w:w="2419"/>
        <w:gridCol w:w="1766"/>
        <w:gridCol w:w="1675"/>
        <w:gridCol w:w="1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989" w:type="dxa"/>
            <w:shd w:val="clear" w:color="auto" w:fill="auto"/>
            <w:vAlign w:val="center"/>
          </w:tcPr>
          <w:p>
            <w:pPr>
              <w:widowControl/>
              <w:jc w:val="center"/>
              <w:rPr>
                <w:rFonts w:hint="default" w:ascii="Times New Roman" w:hAnsi="Times New Roman" w:eastAsia="宋体" w:cs="Times New Roman"/>
                <w:sz w:val="21"/>
                <w:szCs w:val="21"/>
                <w14:textOutline w14:w="3831" w14:cap="flat" w14:cmpd="sng">
                  <w14:solidFill>
                    <w14:srgbClr w14:val="000000"/>
                  </w14:solidFill>
                  <w14:prstDash w14:val="solid"/>
                  <w14:miter w14:val="0"/>
                </w14:textOutline>
              </w:rPr>
            </w:pPr>
            <w:r>
              <w:rPr>
                <w:rFonts w:hint="default" w:ascii="Times New Roman" w:hAnsi="Times New Roman" w:eastAsia="宋体" w:cs="Times New Roman"/>
                <w:sz w:val="21"/>
                <w:szCs w:val="21"/>
                <w14:textOutline w14:w="3831" w14:cap="flat" w14:cmpd="sng">
                  <w14:solidFill>
                    <w14:srgbClr w14:val="000000"/>
                  </w14:solidFill>
                  <w14:prstDash w14:val="solid"/>
                  <w14:miter w14:val="0"/>
                </w14:textOutline>
              </w:rPr>
              <w:t>序号</w:t>
            </w:r>
          </w:p>
        </w:tc>
        <w:tc>
          <w:tcPr>
            <w:tcW w:w="241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sz w:val="21"/>
                <w:szCs w:val="21"/>
                <w14:textOutline w14:w="3831" w14:cap="flat" w14:cmpd="sng">
                  <w14:solidFill>
                    <w14:srgbClr w14:val="000000"/>
                  </w14:solidFill>
                  <w14:prstDash w14:val="solid"/>
                  <w14:miter w14:val="0"/>
                </w14:textOutline>
              </w:rPr>
            </w:pPr>
            <w:r>
              <w:rPr>
                <w:rFonts w:hint="default" w:ascii="Times New Roman" w:hAnsi="Times New Roman" w:eastAsia="宋体" w:cs="Times New Roman"/>
                <w:sz w:val="21"/>
                <w:szCs w:val="21"/>
                <w14:textOutline w14:w="3831" w14:cap="flat" w14:cmpd="sng">
                  <w14:solidFill>
                    <w14:srgbClr w14:val="000000"/>
                  </w14:solidFill>
                  <w14:prstDash w14:val="solid"/>
                  <w14:miter w14:val="0"/>
                </w14:textOutline>
              </w:rPr>
              <w:t>名称</w:t>
            </w:r>
          </w:p>
        </w:tc>
        <w:tc>
          <w:tcPr>
            <w:tcW w:w="176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sz w:val="21"/>
                <w:szCs w:val="21"/>
                <w14:textOutline w14:w="3831" w14:cap="flat" w14:cmpd="sng">
                  <w14:solidFill>
                    <w14:srgbClr w14:val="000000"/>
                  </w14:solidFill>
                  <w14:prstDash w14:val="solid"/>
                  <w14:miter w14:val="0"/>
                </w14:textOutline>
              </w:rPr>
            </w:pPr>
            <w:r>
              <w:rPr>
                <w:rFonts w:hint="default" w:ascii="Times New Roman" w:hAnsi="Times New Roman" w:eastAsia="宋体" w:cs="Times New Roman"/>
                <w:sz w:val="21"/>
                <w:szCs w:val="21"/>
                <w14:textOutline w14:w="3831" w14:cap="flat" w14:cmpd="sng">
                  <w14:solidFill>
                    <w14:srgbClr w14:val="000000"/>
                  </w14:solidFill>
                  <w14:prstDash w14:val="solid"/>
                  <w14:miter w14:val="0"/>
                </w14:textOutline>
              </w:rPr>
              <w:t>登记号</w:t>
            </w:r>
          </w:p>
        </w:tc>
        <w:tc>
          <w:tcPr>
            <w:tcW w:w="167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sz w:val="21"/>
                <w:szCs w:val="21"/>
                <w14:textOutline w14:w="3831" w14:cap="flat" w14:cmpd="sng">
                  <w14:solidFill>
                    <w14:srgbClr w14:val="000000"/>
                  </w14:solidFill>
                  <w14:prstDash w14:val="solid"/>
                  <w14:miter w14:val="0"/>
                </w14:textOutline>
              </w:rPr>
            </w:pPr>
            <w:r>
              <w:rPr>
                <w:rFonts w:hint="default" w:ascii="Times New Roman" w:hAnsi="Times New Roman" w:eastAsia="宋体" w:cs="Times New Roman"/>
                <w:sz w:val="21"/>
                <w:szCs w:val="21"/>
                <w14:textOutline w14:w="3831" w14:cap="flat" w14:cmpd="sng">
                  <w14:solidFill>
                    <w14:srgbClr w14:val="000000"/>
                  </w14:solidFill>
                  <w14:prstDash w14:val="solid"/>
                  <w14:miter w14:val="0"/>
                </w14:textOutline>
              </w:rPr>
              <w:t>授权日期</w:t>
            </w:r>
          </w:p>
        </w:tc>
        <w:tc>
          <w:tcPr>
            <w:tcW w:w="1673"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sz w:val="21"/>
                <w:szCs w:val="21"/>
                <w14:textOutline w14:w="3831" w14:cap="flat" w14:cmpd="sng">
                  <w14:solidFill>
                    <w14:srgbClr w14:val="000000"/>
                  </w14:solidFill>
                  <w14:prstDash w14:val="solid"/>
                  <w14:miter w14:val="0"/>
                </w14:textOutline>
              </w:rPr>
            </w:pPr>
            <w:r>
              <w:rPr>
                <w:rFonts w:hint="default" w:ascii="Times New Roman" w:hAnsi="Times New Roman" w:eastAsia="宋体" w:cs="Times New Roman"/>
                <w:sz w:val="21"/>
                <w:szCs w:val="21"/>
                <w14:textOutline w14:w="3831" w14:cap="flat" w14:cmpd="sng">
                  <w14:solidFill>
                    <w14:srgbClr w14:val="000000"/>
                  </w14:solidFill>
                  <w14:prstDash w14:val="solid"/>
                  <w14:miter w14:val="0"/>
                </w14:textOutline>
              </w:rPr>
              <w:t>著作权人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trPr>
        <w:tc>
          <w:tcPr>
            <w:tcW w:w="989" w:type="dxa"/>
            <w:shd w:val="clear" w:color="auto" w:fill="auto"/>
            <w:vAlign w:val="center"/>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1</w:t>
            </w:r>
          </w:p>
        </w:tc>
        <w:tc>
          <w:tcPr>
            <w:tcW w:w="2419" w:type="dxa"/>
            <w:tcBorders>
              <w:top w:val="single" w:color="auto" w:sz="4" w:space="0"/>
              <w:left w:val="single" w:color="auto" w:sz="4" w:space="0"/>
              <w:bottom w:val="single" w:color="auto" w:sz="4" w:space="0"/>
              <w:right w:val="single" w:color="auto" w:sz="4" w:space="0"/>
            </w:tcBorders>
            <w:vAlign w:val="center"/>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昆明电力交易中心电力零售结算系统软件v1.0</w:t>
            </w:r>
          </w:p>
        </w:tc>
        <w:tc>
          <w:tcPr>
            <w:tcW w:w="1766" w:type="dxa"/>
            <w:tcBorders>
              <w:top w:val="single" w:color="auto" w:sz="4" w:space="0"/>
              <w:left w:val="single" w:color="auto" w:sz="4" w:space="0"/>
              <w:bottom w:val="single" w:color="auto" w:sz="4" w:space="0"/>
              <w:right w:val="single" w:color="auto" w:sz="4" w:space="0"/>
            </w:tcBorders>
            <w:vAlign w:val="center"/>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2021SR1872217</w:t>
            </w:r>
          </w:p>
        </w:tc>
        <w:tc>
          <w:tcPr>
            <w:tcW w:w="1675" w:type="dxa"/>
            <w:tcBorders>
              <w:top w:val="single" w:color="auto" w:sz="4" w:space="0"/>
              <w:left w:val="single" w:color="auto" w:sz="4" w:space="0"/>
              <w:bottom w:val="single" w:color="auto" w:sz="4" w:space="0"/>
              <w:right w:val="single" w:color="auto" w:sz="4" w:space="0"/>
            </w:tcBorders>
            <w:vAlign w:val="center"/>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2021.10.28</w:t>
            </w:r>
          </w:p>
        </w:tc>
        <w:tc>
          <w:tcPr>
            <w:tcW w:w="1673" w:type="dxa"/>
            <w:tcBorders>
              <w:top w:val="single" w:color="auto" w:sz="4" w:space="0"/>
              <w:left w:val="single" w:color="auto" w:sz="4" w:space="0"/>
              <w:bottom w:val="single" w:color="auto" w:sz="4" w:space="0"/>
              <w:right w:val="single" w:color="auto" w:sz="4" w:space="0"/>
            </w:tcBorders>
            <w:vAlign w:val="bottom"/>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昆明电力交易中心有限责任公司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trPr>
        <w:tc>
          <w:tcPr>
            <w:tcW w:w="989" w:type="dxa"/>
            <w:shd w:val="clear" w:color="auto" w:fill="auto"/>
            <w:vAlign w:val="center"/>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2</w:t>
            </w:r>
          </w:p>
        </w:tc>
        <w:tc>
          <w:tcPr>
            <w:tcW w:w="2419" w:type="dxa"/>
            <w:tcBorders>
              <w:top w:val="single" w:color="auto" w:sz="4" w:space="0"/>
              <w:left w:val="single" w:color="auto" w:sz="4" w:space="0"/>
              <w:bottom w:val="single" w:color="auto" w:sz="4" w:space="0"/>
              <w:right w:val="single" w:color="auto" w:sz="4" w:space="0"/>
            </w:tcBorders>
            <w:vAlign w:val="center"/>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昆明电力交易中心售电公司移动运营中台软件v1.0</w:t>
            </w:r>
          </w:p>
        </w:tc>
        <w:tc>
          <w:tcPr>
            <w:tcW w:w="1766" w:type="dxa"/>
            <w:tcBorders>
              <w:top w:val="single" w:color="auto" w:sz="4" w:space="0"/>
              <w:left w:val="single" w:color="auto" w:sz="4" w:space="0"/>
              <w:bottom w:val="single" w:color="auto" w:sz="4" w:space="0"/>
              <w:right w:val="single" w:color="auto" w:sz="4" w:space="0"/>
            </w:tcBorders>
            <w:vAlign w:val="center"/>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2021SR1872220</w:t>
            </w:r>
          </w:p>
        </w:tc>
        <w:tc>
          <w:tcPr>
            <w:tcW w:w="1675" w:type="dxa"/>
            <w:tcBorders>
              <w:top w:val="single" w:color="auto" w:sz="4" w:space="0"/>
              <w:left w:val="single" w:color="auto" w:sz="4" w:space="0"/>
              <w:bottom w:val="single" w:color="auto" w:sz="4" w:space="0"/>
              <w:right w:val="single" w:color="auto" w:sz="4" w:space="0"/>
            </w:tcBorders>
            <w:vAlign w:val="center"/>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2021.10.28</w:t>
            </w:r>
          </w:p>
        </w:tc>
        <w:tc>
          <w:tcPr>
            <w:tcW w:w="1673" w:type="dxa"/>
            <w:tcBorders>
              <w:top w:val="single" w:color="auto" w:sz="4" w:space="0"/>
              <w:left w:val="single" w:color="auto" w:sz="4" w:space="0"/>
              <w:bottom w:val="single" w:color="auto" w:sz="4" w:space="0"/>
              <w:right w:val="single" w:color="auto" w:sz="4" w:space="0"/>
            </w:tcBorders>
            <w:vAlign w:val="bottom"/>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昆明电力交易中心有限责任公司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trPr>
        <w:tc>
          <w:tcPr>
            <w:tcW w:w="989" w:type="dxa"/>
            <w:shd w:val="clear" w:color="auto" w:fill="auto"/>
            <w:vAlign w:val="center"/>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3</w:t>
            </w:r>
          </w:p>
        </w:tc>
        <w:tc>
          <w:tcPr>
            <w:tcW w:w="2419" w:type="dxa"/>
            <w:tcBorders>
              <w:top w:val="single" w:color="auto" w:sz="4" w:space="0"/>
              <w:left w:val="single" w:color="auto" w:sz="4" w:space="0"/>
              <w:bottom w:val="single" w:color="auto" w:sz="4" w:space="0"/>
              <w:right w:val="single" w:color="auto" w:sz="4" w:space="0"/>
            </w:tcBorders>
            <w:vAlign w:val="center"/>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电力零售交易风险管理系统v1.0</w:t>
            </w:r>
          </w:p>
        </w:tc>
        <w:tc>
          <w:tcPr>
            <w:tcW w:w="1766" w:type="dxa"/>
            <w:tcBorders>
              <w:top w:val="single" w:color="auto" w:sz="4" w:space="0"/>
              <w:left w:val="single" w:color="auto" w:sz="4" w:space="0"/>
              <w:bottom w:val="single" w:color="auto" w:sz="4" w:space="0"/>
              <w:right w:val="single" w:color="auto" w:sz="4" w:space="0"/>
            </w:tcBorders>
            <w:vAlign w:val="center"/>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2021SR1872219</w:t>
            </w:r>
          </w:p>
        </w:tc>
        <w:tc>
          <w:tcPr>
            <w:tcW w:w="1675" w:type="dxa"/>
            <w:tcBorders>
              <w:top w:val="single" w:color="auto" w:sz="4" w:space="0"/>
              <w:left w:val="single" w:color="auto" w:sz="4" w:space="0"/>
              <w:bottom w:val="single" w:color="auto" w:sz="4" w:space="0"/>
              <w:right w:val="single" w:color="auto" w:sz="4" w:space="0"/>
            </w:tcBorders>
            <w:vAlign w:val="center"/>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2021.10.28</w:t>
            </w:r>
          </w:p>
        </w:tc>
        <w:tc>
          <w:tcPr>
            <w:tcW w:w="1673" w:type="dxa"/>
            <w:tcBorders>
              <w:top w:val="single" w:color="auto" w:sz="4" w:space="0"/>
              <w:left w:val="single" w:color="auto" w:sz="4" w:space="0"/>
              <w:bottom w:val="single" w:color="auto" w:sz="4" w:space="0"/>
              <w:right w:val="single" w:color="auto" w:sz="4" w:space="0"/>
            </w:tcBorders>
            <w:vAlign w:val="bottom"/>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昆明电力交易中心有限责任公司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7" w:hRule="atLeast"/>
        </w:trPr>
        <w:tc>
          <w:tcPr>
            <w:tcW w:w="989" w:type="dxa"/>
            <w:shd w:val="clear" w:color="auto" w:fill="auto"/>
            <w:vAlign w:val="center"/>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4</w:t>
            </w:r>
          </w:p>
        </w:tc>
        <w:tc>
          <w:tcPr>
            <w:tcW w:w="2419" w:type="dxa"/>
            <w:tcBorders>
              <w:top w:val="single" w:color="auto" w:sz="4" w:space="0"/>
              <w:left w:val="single" w:color="auto" w:sz="4" w:space="0"/>
              <w:bottom w:val="single" w:color="auto" w:sz="4" w:space="0"/>
              <w:right w:val="single" w:color="auto" w:sz="4" w:space="0"/>
            </w:tcBorders>
            <w:vAlign w:val="center"/>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电力零售交易推荐系统v1.0</w:t>
            </w:r>
          </w:p>
        </w:tc>
        <w:tc>
          <w:tcPr>
            <w:tcW w:w="1766" w:type="dxa"/>
            <w:tcBorders>
              <w:top w:val="single" w:color="auto" w:sz="4" w:space="0"/>
              <w:left w:val="single" w:color="auto" w:sz="4" w:space="0"/>
              <w:bottom w:val="single" w:color="auto" w:sz="4" w:space="0"/>
              <w:right w:val="single" w:color="auto" w:sz="4" w:space="0"/>
            </w:tcBorders>
            <w:vAlign w:val="center"/>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2021SR1919759</w:t>
            </w:r>
          </w:p>
        </w:tc>
        <w:tc>
          <w:tcPr>
            <w:tcW w:w="1675" w:type="dxa"/>
            <w:tcBorders>
              <w:top w:val="single" w:color="auto" w:sz="4" w:space="0"/>
              <w:left w:val="single" w:color="auto" w:sz="4" w:space="0"/>
              <w:bottom w:val="single" w:color="auto" w:sz="4" w:space="0"/>
              <w:right w:val="single" w:color="auto" w:sz="4" w:space="0"/>
            </w:tcBorders>
            <w:vAlign w:val="center"/>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2021.10.28</w:t>
            </w:r>
          </w:p>
        </w:tc>
        <w:tc>
          <w:tcPr>
            <w:tcW w:w="1673" w:type="dxa"/>
            <w:tcBorders>
              <w:top w:val="single" w:color="auto" w:sz="4" w:space="0"/>
              <w:left w:val="single" w:color="auto" w:sz="4" w:space="0"/>
              <w:bottom w:val="single" w:color="auto" w:sz="4" w:space="0"/>
              <w:right w:val="single" w:color="auto" w:sz="4" w:space="0"/>
            </w:tcBorders>
            <w:vAlign w:val="bottom"/>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昆明电力交易中心有限责任公司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trPr>
        <w:tc>
          <w:tcPr>
            <w:tcW w:w="989" w:type="dxa"/>
            <w:shd w:val="clear" w:color="auto" w:fill="auto"/>
            <w:vAlign w:val="center"/>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5</w:t>
            </w:r>
          </w:p>
        </w:tc>
        <w:tc>
          <w:tcPr>
            <w:tcW w:w="2419" w:type="dxa"/>
            <w:tcBorders>
              <w:top w:val="single" w:color="auto" w:sz="4" w:space="0"/>
              <w:left w:val="single" w:color="auto" w:sz="4" w:space="0"/>
              <w:bottom w:val="single" w:color="auto" w:sz="4" w:space="0"/>
              <w:right w:val="single" w:color="auto" w:sz="4" w:space="0"/>
            </w:tcBorders>
            <w:vAlign w:val="center"/>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昆明电力交易中心零售交易平台后台管理软件V1</w:t>
            </w:r>
          </w:p>
        </w:tc>
        <w:tc>
          <w:tcPr>
            <w:tcW w:w="1766" w:type="dxa"/>
            <w:tcBorders>
              <w:top w:val="single" w:color="auto" w:sz="4" w:space="0"/>
              <w:left w:val="single" w:color="auto" w:sz="4" w:space="0"/>
              <w:bottom w:val="single" w:color="auto" w:sz="4" w:space="0"/>
              <w:right w:val="single" w:color="auto" w:sz="4" w:space="0"/>
            </w:tcBorders>
            <w:vAlign w:val="center"/>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2020SR0864058</w:t>
            </w:r>
          </w:p>
        </w:tc>
        <w:tc>
          <w:tcPr>
            <w:tcW w:w="1675" w:type="dxa"/>
            <w:tcBorders>
              <w:top w:val="single" w:color="auto" w:sz="4" w:space="0"/>
              <w:left w:val="single" w:color="auto" w:sz="4" w:space="0"/>
              <w:bottom w:val="single" w:color="auto" w:sz="4" w:space="0"/>
              <w:right w:val="single" w:color="auto" w:sz="4" w:space="0"/>
            </w:tcBorders>
            <w:vAlign w:val="center"/>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2020.04.11</w:t>
            </w:r>
          </w:p>
        </w:tc>
        <w:tc>
          <w:tcPr>
            <w:tcW w:w="1673" w:type="dxa"/>
            <w:tcBorders>
              <w:top w:val="single" w:color="auto" w:sz="4" w:space="0"/>
              <w:left w:val="single" w:color="auto" w:sz="4" w:space="0"/>
              <w:bottom w:val="single" w:color="auto" w:sz="4" w:space="0"/>
              <w:right w:val="single" w:color="auto" w:sz="4" w:space="0"/>
            </w:tcBorders>
            <w:vAlign w:val="bottom"/>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昆明电力交易中心有限责任公司；蔡华祥；陈然；张加贝；赵伟华；王帮灿；丁文娇；陈玲；牟春风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trPr>
        <w:tc>
          <w:tcPr>
            <w:tcW w:w="989" w:type="dxa"/>
            <w:shd w:val="clear" w:color="auto" w:fill="auto"/>
            <w:vAlign w:val="center"/>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6</w:t>
            </w:r>
          </w:p>
        </w:tc>
        <w:tc>
          <w:tcPr>
            <w:tcW w:w="2419" w:type="dxa"/>
            <w:tcBorders>
              <w:top w:val="single" w:color="auto" w:sz="4" w:space="0"/>
              <w:left w:val="single" w:color="auto" w:sz="4" w:space="0"/>
              <w:bottom w:val="single" w:color="auto" w:sz="4" w:space="0"/>
              <w:right w:val="single" w:color="auto" w:sz="4" w:space="0"/>
            </w:tcBorders>
            <w:vAlign w:val="center"/>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昆明电力交易中心淘电商城软件V1</w:t>
            </w:r>
          </w:p>
        </w:tc>
        <w:tc>
          <w:tcPr>
            <w:tcW w:w="1766" w:type="dxa"/>
            <w:tcBorders>
              <w:top w:val="single" w:color="auto" w:sz="4" w:space="0"/>
              <w:left w:val="single" w:color="auto" w:sz="4" w:space="0"/>
              <w:bottom w:val="single" w:color="auto" w:sz="4" w:space="0"/>
              <w:right w:val="single" w:color="auto" w:sz="4" w:space="0"/>
            </w:tcBorders>
            <w:vAlign w:val="center"/>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2020SR0743644</w:t>
            </w:r>
          </w:p>
        </w:tc>
        <w:tc>
          <w:tcPr>
            <w:tcW w:w="1675" w:type="dxa"/>
            <w:tcBorders>
              <w:top w:val="single" w:color="auto" w:sz="4" w:space="0"/>
              <w:left w:val="single" w:color="auto" w:sz="4" w:space="0"/>
              <w:bottom w:val="single" w:color="auto" w:sz="4" w:space="0"/>
              <w:right w:val="single" w:color="auto" w:sz="4" w:space="0"/>
            </w:tcBorders>
            <w:vAlign w:val="center"/>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2020.04.14</w:t>
            </w:r>
          </w:p>
        </w:tc>
        <w:tc>
          <w:tcPr>
            <w:tcW w:w="1673" w:type="dxa"/>
            <w:tcBorders>
              <w:top w:val="single" w:color="auto" w:sz="4" w:space="0"/>
              <w:left w:val="single" w:color="auto" w:sz="4" w:space="0"/>
              <w:bottom w:val="single" w:color="auto" w:sz="4" w:space="0"/>
              <w:right w:val="single" w:color="auto" w:sz="4" w:space="0"/>
            </w:tcBorders>
            <w:vAlign w:val="bottom"/>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昆明电力交易中心有限责任公司；蔡华祥；王帮灿；丁文娇；赵伟华；和珮珊；杨东源；蔡娜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trPr>
        <w:tc>
          <w:tcPr>
            <w:tcW w:w="989" w:type="dxa"/>
            <w:shd w:val="clear" w:color="auto" w:fill="auto"/>
            <w:vAlign w:val="center"/>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7</w:t>
            </w:r>
          </w:p>
        </w:tc>
        <w:tc>
          <w:tcPr>
            <w:tcW w:w="2419" w:type="dxa"/>
            <w:tcBorders>
              <w:top w:val="single" w:color="auto" w:sz="4" w:space="0"/>
              <w:left w:val="single" w:color="auto" w:sz="4" w:space="0"/>
              <w:bottom w:val="single" w:color="auto" w:sz="4" w:space="0"/>
              <w:right w:val="single" w:color="auto" w:sz="4" w:space="0"/>
            </w:tcBorders>
            <w:vAlign w:val="center"/>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昆明电力交易中心淘电网运营中台软件V1</w:t>
            </w:r>
          </w:p>
        </w:tc>
        <w:tc>
          <w:tcPr>
            <w:tcW w:w="1766" w:type="dxa"/>
            <w:tcBorders>
              <w:top w:val="single" w:color="auto" w:sz="4" w:space="0"/>
              <w:left w:val="single" w:color="auto" w:sz="4" w:space="0"/>
              <w:bottom w:val="single" w:color="auto" w:sz="4" w:space="0"/>
              <w:right w:val="single" w:color="auto" w:sz="4" w:space="0"/>
            </w:tcBorders>
            <w:vAlign w:val="center"/>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2020SR0743649</w:t>
            </w:r>
          </w:p>
        </w:tc>
        <w:tc>
          <w:tcPr>
            <w:tcW w:w="1675" w:type="dxa"/>
            <w:tcBorders>
              <w:top w:val="single" w:color="auto" w:sz="4" w:space="0"/>
              <w:left w:val="single" w:color="auto" w:sz="4" w:space="0"/>
              <w:bottom w:val="single" w:color="auto" w:sz="4" w:space="0"/>
              <w:right w:val="single" w:color="auto" w:sz="4" w:space="0"/>
            </w:tcBorders>
            <w:vAlign w:val="center"/>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2020.04.12</w:t>
            </w:r>
          </w:p>
        </w:tc>
        <w:tc>
          <w:tcPr>
            <w:tcW w:w="1673" w:type="dxa"/>
            <w:tcBorders>
              <w:top w:val="single" w:color="auto" w:sz="4" w:space="0"/>
              <w:left w:val="single" w:color="auto" w:sz="4" w:space="0"/>
              <w:bottom w:val="single" w:color="auto" w:sz="4" w:space="0"/>
              <w:right w:val="single" w:color="auto" w:sz="4" w:space="0"/>
            </w:tcBorders>
            <w:vAlign w:val="bottom"/>
          </w:tcPr>
          <w:p>
            <w:pPr>
              <w:spacing w:before="75" w:line="279" w:lineRule="auto"/>
              <w:ind w:left="113" w:right="104" w:firstLine="19"/>
              <w:rPr>
                <w:rFonts w:hint="default" w:ascii="Times New Roman" w:hAnsi="Times New Roman" w:eastAsia="宋体" w:cs="Times New Roman"/>
                <w:spacing w:val="2"/>
                <w:sz w:val="21"/>
                <w:szCs w:val="21"/>
              </w:rPr>
            </w:pPr>
            <w:r>
              <w:rPr>
                <w:rFonts w:hint="default" w:ascii="Times New Roman" w:hAnsi="Times New Roman" w:eastAsia="宋体" w:cs="Times New Roman"/>
                <w:spacing w:val="2"/>
                <w:sz w:val="21"/>
                <w:szCs w:val="21"/>
              </w:rPr>
              <w:t>昆明电力交易中心有限责任公司；张茂林；王帮灿；丁文娇；吴滇宁；王睿琛；赵伟华；周娜</w:t>
            </w:r>
          </w:p>
        </w:tc>
      </w:tr>
    </w:tbl>
    <w:p>
      <w:pPr>
        <w:rPr>
          <w:rFonts w:ascii="Arial"/>
          <w:sz w:val="21"/>
        </w:rPr>
      </w:pPr>
    </w:p>
    <w:p>
      <w:pPr>
        <w:sectPr>
          <w:footerReference r:id="rId4" w:type="default"/>
          <w:pgSz w:w="11907" w:h="16839"/>
          <w:pgMar w:top="1431" w:right="1785" w:bottom="1149" w:left="1785" w:header="0" w:footer="986" w:gutter="0"/>
          <w:cols w:space="720" w:num="1"/>
        </w:sectPr>
      </w:pPr>
    </w:p>
    <w:p>
      <w:pPr>
        <w:tabs>
          <w:tab w:val="left" w:pos="589"/>
        </w:tabs>
        <w:spacing w:before="218" w:line="182" w:lineRule="auto"/>
        <w:ind w:left="469"/>
        <w:rPr>
          <w:rFonts w:ascii="宋体" w:hAnsi="宋体" w:eastAsia="宋体" w:cs="宋体"/>
          <w:sz w:val="24"/>
          <w:szCs w:val="24"/>
        </w:rPr>
      </w:pPr>
      <w:r>
        <w:rPr>
          <w:rFonts w:ascii="Microsoft JhengHei" w:hAnsi="Microsoft JhengHei" w:eastAsia="Microsoft JhengHei" w:cs="Microsoft JhengHei"/>
          <w:b/>
          <w:bCs/>
          <w:sz w:val="24"/>
          <w:szCs w:val="24"/>
        </w:rPr>
        <w:tab/>
      </w:r>
      <w:r>
        <w:rPr>
          <w:rFonts w:ascii="Microsoft JhengHei" w:hAnsi="Microsoft JhengHei" w:eastAsia="Microsoft JhengHei" w:cs="Microsoft JhengHei"/>
          <w:b/>
          <w:bCs/>
          <w:spacing w:val="-2"/>
          <w:sz w:val="24"/>
          <w:szCs w:val="24"/>
        </w:rPr>
        <w:t>(</w:t>
      </w:r>
      <w:r>
        <w:rPr>
          <w:rFonts w:ascii="Microsoft JhengHei" w:hAnsi="Microsoft JhengHei" w:eastAsia="Microsoft JhengHei" w:cs="Microsoft JhengHei"/>
          <w:spacing w:val="-2"/>
          <w:sz w:val="24"/>
          <w:szCs w:val="24"/>
        </w:rPr>
        <w:t xml:space="preserve"> </w:t>
      </w:r>
      <w:r>
        <w:rPr>
          <w:rFonts w:ascii="宋体" w:hAnsi="宋体" w:eastAsia="宋体" w:cs="宋体"/>
          <w:spacing w:val="-2"/>
          <w:sz w:val="24"/>
          <w:szCs w:val="24"/>
          <w14:textOutline w14:w="4354" w14:cap="flat" w14:cmpd="sng">
            <w14:solidFill>
              <w14:srgbClr w14:val="000000"/>
            </w14:solidFill>
            <w14:prstDash w14:val="solid"/>
            <w14:miter w14:val="0"/>
          </w14:textOutline>
        </w:rPr>
        <w:t>三</w:t>
      </w:r>
      <w:r>
        <w:rPr>
          <w:rFonts w:ascii="宋体" w:hAnsi="宋体" w:eastAsia="宋体" w:cs="宋体"/>
          <w:spacing w:val="-2"/>
          <w:sz w:val="24"/>
          <w:szCs w:val="24"/>
        </w:rPr>
        <w:t xml:space="preserve"> </w:t>
      </w:r>
      <w:r>
        <w:rPr>
          <w:rFonts w:ascii="Microsoft JhengHei" w:hAnsi="Microsoft JhengHei" w:eastAsia="Microsoft JhengHei" w:cs="Microsoft JhengHei"/>
          <w:b/>
          <w:bCs/>
          <w:spacing w:val="-2"/>
          <w:sz w:val="24"/>
          <w:szCs w:val="24"/>
        </w:rPr>
        <w:t>)</w:t>
      </w:r>
      <w:r>
        <w:rPr>
          <w:rFonts w:ascii="Microsoft JhengHei" w:hAnsi="Microsoft JhengHei" w:eastAsia="Microsoft JhengHei" w:cs="Microsoft JhengHei"/>
          <w:spacing w:val="-2"/>
          <w:sz w:val="24"/>
          <w:szCs w:val="24"/>
        </w:rPr>
        <w:t xml:space="preserve"> </w:t>
      </w:r>
      <w:r>
        <w:rPr>
          <w:rFonts w:ascii="宋体" w:hAnsi="宋体" w:eastAsia="宋体" w:cs="宋体"/>
          <w:spacing w:val="-2"/>
          <w:sz w:val="24"/>
          <w:szCs w:val="24"/>
          <w14:textOutline w14:w="4354" w14:cap="flat" w14:cmpd="sng">
            <w14:solidFill>
              <w14:srgbClr w14:val="000000"/>
            </w14:solidFill>
            <w14:prstDash w14:val="solid"/>
            <w14:miter w14:val="0"/>
          </w14:textOutline>
        </w:rPr>
        <w:t>论文</w:t>
      </w:r>
    </w:p>
    <w:p/>
    <w:tbl>
      <w:tblPr>
        <w:tblStyle w:val="3"/>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775"/>
        <w:gridCol w:w="2197"/>
        <w:gridCol w:w="2835"/>
        <w:gridCol w:w="1134"/>
        <w:gridCol w:w="15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5" w:hRule="atLeast"/>
        </w:trPr>
        <w:tc>
          <w:tcPr>
            <w:tcW w:w="775" w:type="dxa"/>
            <w:tcBorders>
              <w:tl2br w:val="nil"/>
              <w:tr2bl w:val="nil"/>
            </w:tcBorders>
            <w:shd w:val="clear" w:color="auto" w:fill="auto"/>
            <w:vAlign w:val="center"/>
          </w:tcPr>
          <w:p>
            <w:pPr>
              <w:widowControl/>
              <w:jc w:val="center"/>
              <w:rPr>
                <w:rFonts w:hint="default" w:ascii="Times New Roman" w:hAnsi="Times New Roman" w:eastAsia="宋体" w:cs="Times New Roman"/>
                <w:sz w:val="21"/>
                <w:szCs w:val="21"/>
                <w14:textOutline w14:w="3831" w14:cap="flat" w14:cmpd="sng">
                  <w14:solidFill>
                    <w14:srgbClr w14:val="000000"/>
                  </w14:solidFill>
                  <w14:prstDash w14:val="solid"/>
                  <w14:miter w14:val="0"/>
                </w14:textOutline>
              </w:rPr>
            </w:pPr>
            <w:r>
              <w:rPr>
                <w:rFonts w:hint="default" w:ascii="Times New Roman" w:hAnsi="Times New Roman" w:eastAsia="宋体" w:cs="Times New Roman"/>
                <w:sz w:val="21"/>
                <w:szCs w:val="21"/>
                <w14:textOutline w14:w="3831" w14:cap="flat" w14:cmpd="sng">
                  <w14:solidFill>
                    <w14:srgbClr w14:val="000000"/>
                  </w14:solidFill>
                  <w14:prstDash w14:val="solid"/>
                  <w14:miter w14:val="0"/>
                </w14:textOutline>
              </w:rPr>
              <w:t>序号</w:t>
            </w:r>
          </w:p>
        </w:tc>
        <w:tc>
          <w:tcPr>
            <w:tcW w:w="2197" w:type="dxa"/>
            <w:tcBorders>
              <w:tl2br w:val="nil"/>
              <w:tr2bl w:val="nil"/>
            </w:tcBorders>
            <w:shd w:val="clear" w:color="auto" w:fill="auto"/>
            <w:vAlign w:val="center"/>
          </w:tcPr>
          <w:p>
            <w:pPr>
              <w:widowControl/>
              <w:jc w:val="center"/>
              <w:rPr>
                <w:rFonts w:hint="default" w:ascii="Times New Roman" w:hAnsi="Times New Roman" w:eastAsia="宋体" w:cs="Times New Roman"/>
                <w:sz w:val="21"/>
                <w:szCs w:val="21"/>
                <w14:textOutline w14:w="3831" w14:cap="flat" w14:cmpd="sng">
                  <w14:solidFill>
                    <w14:srgbClr w14:val="000000"/>
                  </w14:solidFill>
                  <w14:prstDash w14:val="solid"/>
                  <w14:miter w14:val="0"/>
                </w14:textOutline>
              </w:rPr>
            </w:pPr>
            <w:r>
              <w:rPr>
                <w:rFonts w:hint="default" w:ascii="Times New Roman" w:hAnsi="Times New Roman" w:eastAsia="宋体" w:cs="Times New Roman"/>
                <w:sz w:val="21"/>
                <w:szCs w:val="21"/>
                <w14:textOutline w14:w="3831" w14:cap="flat" w14:cmpd="sng">
                  <w14:solidFill>
                    <w14:srgbClr w14:val="000000"/>
                  </w14:solidFill>
                  <w14:prstDash w14:val="solid"/>
                  <w14:miter w14:val="0"/>
                </w14:textOutline>
              </w:rPr>
              <w:t>论文、专著名称</w:t>
            </w:r>
          </w:p>
        </w:tc>
        <w:tc>
          <w:tcPr>
            <w:tcW w:w="2835" w:type="dxa"/>
            <w:tcBorders>
              <w:tl2br w:val="nil"/>
              <w:tr2bl w:val="nil"/>
            </w:tcBorders>
            <w:shd w:val="clear" w:color="auto" w:fill="auto"/>
            <w:vAlign w:val="center"/>
          </w:tcPr>
          <w:p>
            <w:pPr>
              <w:widowControl/>
              <w:jc w:val="center"/>
              <w:rPr>
                <w:rFonts w:hint="default" w:ascii="Times New Roman" w:hAnsi="Times New Roman" w:eastAsia="宋体" w:cs="Times New Roman"/>
                <w:sz w:val="21"/>
                <w:szCs w:val="21"/>
                <w14:textOutline w14:w="3831" w14:cap="flat" w14:cmpd="sng">
                  <w14:solidFill>
                    <w14:srgbClr w14:val="000000"/>
                  </w14:solidFill>
                  <w14:prstDash w14:val="solid"/>
                  <w14:miter w14:val="0"/>
                </w14:textOutline>
              </w:rPr>
            </w:pPr>
            <w:r>
              <w:rPr>
                <w:rFonts w:hint="default" w:ascii="Times New Roman" w:hAnsi="Times New Roman" w:eastAsia="宋体" w:cs="Times New Roman"/>
                <w:sz w:val="21"/>
                <w:szCs w:val="21"/>
                <w14:textOutline w14:w="3831" w14:cap="flat" w14:cmpd="sng">
                  <w14:solidFill>
                    <w14:srgbClr w14:val="000000"/>
                  </w14:solidFill>
                  <w14:prstDash w14:val="solid"/>
                  <w14:miter w14:val="0"/>
                </w14:textOutline>
              </w:rPr>
              <w:t>刊名、出版社</w:t>
            </w:r>
          </w:p>
        </w:tc>
        <w:tc>
          <w:tcPr>
            <w:tcW w:w="1134" w:type="dxa"/>
            <w:tcBorders>
              <w:tl2br w:val="nil"/>
              <w:tr2bl w:val="nil"/>
            </w:tcBorders>
            <w:shd w:val="clear" w:color="auto" w:fill="auto"/>
            <w:vAlign w:val="center"/>
          </w:tcPr>
          <w:p>
            <w:pPr>
              <w:widowControl/>
              <w:jc w:val="center"/>
              <w:rPr>
                <w:rFonts w:hint="default" w:ascii="Times New Roman" w:hAnsi="Times New Roman" w:eastAsia="宋体" w:cs="Times New Roman"/>
                <w:sz w:val="21"/>
                <w:szCs w:val="21"/>
                <w14:textOutline w14:w="3831" w14:cap="flat" w14:cmpd="sng">
                  <w14:solidFill>
                    <w14:srgbClr w14:val="000000"/>
                  </w14:solidFill>
                  <w14:prstDash w14:val="solid"/>
                  <w14:miter w14:val="0"/>
                </w14:textOutline>
              </w:rPr>
            </w:pPr>
            <w:r>
              <w:rPr>
                <w:rFonts w:hint="default" w:ascii="Times New Roman" w:hAnsi="Times New Roman" w:eastAsia="宋体" w:cs="Times New Roman"/>
                <w:sz w:val="21"/>
                <w:szCs w:val="21"/>
                <w14:textOutline w14:w="3831" w14:cap="flat" w14:cmpd="sng">
                  <w14:solidFill>
                    <w14:srgbClr w14:val="000000"/>
                  </w14:solidFill>
                  <w14:prstDash w14:val="solid"/>
                  <w14:miter w14:val="0"/>
                </w14:textOutline>
              </w:rPr>
              <w:t>通信作者/</w:t>
            </w:r>
          </w:p>
          <w:p>
            <w:pPr>
              <w:widowControl/>
              <w:jc w:val="center"/>
              <w:rPr>
                <w:rFonts w:hint="default" w:ascii="Times New Roman" w:hAnsi="Times New Roman" w:eastAsia="宋体" w:cs="Times New Roman"/>
                <w:sz w:val="21"/>
                <w:szCs w:val="21"/>
                <w14:textOutline w14:w="3831" w14:cap="flat" w14:cmpd="sng">
                  <w14:solidFill>
                    <w14:srgbClr w14:val="000000"/>
                  </w14:solidFill>
                  <w14:prstDash w14:val="solid"/>
                  <w14:miter w14:val="0"/>
                </w14:textOutline>
              </w:rPr>
            </w:pPr>
            <w:r>
              <w:rPr>
                <w:rFonts w:hint="default" w:ascii="Times New Roman" w:hAnsi="Times New Roman" w:eastAsia="宋体" w:cs="Times New Roman"/>
                <w:sz w:val="21"/>
                <w:szCs w:val="21"/>
                <w14:textOutline w14:w="3831" w14:cap="flat" w14:cmpd="sng">
                  <w14:solidFill>
                    <w14:srgbClr w14:val="000000"/>
                  </w14:solidFill>
                  <w14:prstDash w14:val="solid"/>
                  <w14:miter w14:val="0"/>
                </w14:textOutline>
              </w:rPr>
              <w:t>第一责任人、</w:t>
            </w:r>
          </w:p>
          <w:p>
            <w:pPr>
              <w:widowControl/>
              <w:jc w:val="center"/>
              <w:rPr>
                <w:rFonts w:hint="default" w:ascii="Times New Roman" w:hAnsi="Times New Roman" w:eastAsia="宋体" w:cs="Times New Roman"/>
                <w:sz w:val="21"/>
                <w:szCs w:val="21"/>
                <w14:textOutline w14:w="3831" w14:cap="flat" w14:cmpd="sng">
                  <w14:solidFill>
                    <w14:srgbClr w14:val="000000"/>
                  </w14:solidFill>
                  <w14:prstDash w14:val="solid"/>
                  <w14:miter w14:val="0"/>
                </w14:textOutline>
              </w:rPr>
            </w:pPr>
            <w:r>
              <w:rPr>
                <w:rFonts w:hint="default" w:ascii="Times New Roman" w:hAnsi="Times New Roman" w:eastAsia="宋体" w:cs="Times New Roman"/>
                <w:sz w:val="21"/>
                <w:szCs w:val="21"/>
                <w14:textOutline w14:w="3831" w14:cap="flat" w14:cmpd="sng">
                  <w14:solidFill>
                    <w14:srgbClr w14:val="000000"/>
                  </w14:solidFill>
                  <w14:prstDash w14:val="solid"/>
                  <w14:miter w14:val="0"/>
                </w14:textOutline>
              </w:rPr>
              <w:t>第一作者</w:t>
            </w:r>
          </w:p>
        </w:tc>
        <w:tc>
          <w:tcPr>
            <w:tcW w:w="1576" w:type="dxa"/>
            <w:tcBorders>
              <w:tl2br w:val="nil"/>
              <w:tr2bl w:val="nil"/>
            </w:tcBorders>
            <w:shd w:val="clear" w:color="auto" w:fill="auto"/>
            <w:vAlign w:val="center"/>
          </w:tcPr>
          <w:p>
            <w:pPr>
              <w:widowControl/>
              <w:jc w:val="center"/>
              <w:rPr>
                <w:rFonts w:hint="default" w:ascii="Times New Roman" w:hAnsi="Times New Roman" w:eastAsia="宋体" w:cs="Times New Roman"/>
                <w:sz w:val="21"/>
                <w:szCs w:val="21"/>
                <w14:textOutline w14:w="3831" w14:cap="flat" w14:cmpd="sng">
                  <w14:solidFill>
                    <w14:srgbClr w14:val="000000"/>
                  </w14:solidFill>
                  <w14:prstDash w14:val="solid"/>
                  <w14:miter w14:val="0"/>
                </w14:textOutline>
              </w:rPr>
            </w:pPr>
            <w:r>
              <w:rPr>
                <w:rFonts w:hint="default" w:ascii="Times New Roman" w:hAnsi="Times New Roman" w:eastAsia="宋体" w:cs="Times New Roman"/>
                <w:sz w:val="21"/>
                <w:szCs w:val="21"/>
                <w14:textOutline w14:w="3831" w14:cap="flat" w14:cmpd="sng">
                  <w14:solidFill>
                    <w14:srgbClr w14:val="000000"/>
                  </w14:solidFill>
                  <w14:prstDash w14:val="solid"/>
                  <w14:miter w14:val="0"/>
                </w14:textOutline>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01" w:hRule="atLeast"/>
        </w:trPr>
        <w:tc>
          <w:tcPr>
            <w:tcW w:w="775" w:type="dxa"/>
            <w:tcBorders>
              <w:tl2br w:val="nil"/>
              <w:tr2bl w:val="nil"/>
            </w:tcBorders>
            <w:shd w:val="clear" w:color="auto" w:fill="auto"/>
            <w:vAlign w:val="center"/>
          </w:tcPr>
          <w:p>
            <w:pPr>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1</w:t>
            </w:r>
          </w:p>
        </w:tc>
        <w:tc>
          <w:tcPr>
            <w:tcW w:w="2197" w:type="dxa"/>
            <w:tcBorders>
              <w:tl2br w:val="nil"/>
              <w:tr2bl w:val="nil"/>
            </w:tcBorders>
            <w:shd w:val="clear" w:color="auto" w:fill="auto"/>
            <w:vAlign w:val="center"/>
          </w:tcPr>
          <w:p>
            <w:pPr>
              <w:jc w:val="center"/>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Review of power user profile research for power sale side release</w:t>
            </w:r>
          </w:p>
        </w:tc>
        <w:tc>
          <w:tcPr>
            <w:tcW w:w="2835" w:type="dxa"/>
            <w:tcBorders>
              <w:tl2br w:val="nil"/>
              <w:tr2bl w:val="nil"/>
            </w:tcBorders>
            <w:shd w:val="clear" w:color="auto" w:fill="auto"/>
            <w:vAlign w:val="center"/>
          </w:tcPr>
          <w:p>
            <w:pPr>
              <w:jc w:val="center"/>
              <w:textAlignment w:val="center"/>
              <w:rPr>
                <w:rFonts w:hint="default" w:ascii="Times New Roman" w:hAnsi="Times New Roman" w:cs="Times New Roman"/>
                <w:color w:val="000000"/>
                <w:kern w:val="0"/>
                <w:sz w:val="21"/>
                <w:szCs w:val="21"/>
                <w:lang w:bidi="ar"/>
              </w:rPr>
            </w:pPr>
            <w:r>
              <w:rPr>
                <w:rFonts w:hint="default" w:ascii="Times New Roman" w:hAnsi="Times New Roman" w:cs="Times New Roman"/>
                <w:color w:val="000000"/>
                <w:kern w:val="0"/>
                <w:sz w:val="21"/>
                <w:szCs w:val="21"/>
                <w:lang w:bidi="ar"/>
              </w:rPr>
              <w:t>Proceedings –Proceedings - 2021 IEEE Sustainable Power and Energy Conference: Energy Transition for Carbon Neutrality, iSPEC 2021;</w:t>
            </w:r>
          </w:p>
          <w:p>
            <w:pPr>
              <w:jc w:val="center"/>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出版商：Institute of Electrical and Electronics Engineers Inc.</w:t>
            </w:r>
          </w:p>
        </w:tc>
        <w:tc>
          <w:tcPr>
            <w:tcW w:w="1134" w:type="dxa"/>
            <w:tcBorders>
              <w:tl2br w:val="nil"/>
              <w:tr2bl w:val="nil"/>
            </w:tcBorders>
            <w:shd w:val="clear" w:color="auto" w:fill="auto"/>
            <w:vAlign w:val="center"/>
          </w:tcPr>
          <w:p>
            <w:pPr>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丁文娇</w:t>
            </w:r>
          </w:p>
        </w:tc>
        <w:tc>
          <w:tcPr>
            <w:tcW w:w="1576" w:type="dxa"/>
            <w:tcBorders>
              <w:tl2br w:val="nil"/>
              <w:tr2bl w:val="nil"/>
            </w:tcBorders>
            <w:shd w:val="clear" w:color="auto" w:fill="auto"/>
            <w:vAlign w:val="center"/>
          </w:tcPr>
          <w:p>
            <w:pPr>
              <w:jc w:val="center"/>
              <w:rPr>
                <w:rFonts w:hint="default" w:ascii="Times New Roman" w:hAnsi="Times New Roman" w:cs="Times New Roman"/>
                <w:color w:val="000000"/>
                <w:kern w:val="0"/>
                <w:sz w:val="21"/>
                <w:szCs w:val="21"/>
              </w:rPr>
            </w:pPr>
            <w:r>
              <w:rPr>
                <w:rFonts w:hint="default" w:ascii="Times New Roman" w:hAnsi="Times New Roman" w:cs="Times New Roman"/>
                <w:color w:val="2E2E2E"/>
                <w:sz w:val="21"/>
                <w:szCs w:val="21"/>
                <w:shd w:val="clear" w:color="auto" w:fill="FFFFFF"/>
              </w:rPr>
              <w:t>见刊，EI检索号：20221611967626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25" w:hRule="atLeast"/>
        </w:trPr>
        <w:tc>
          <w:tcPr>
            <w:tcW w:w="775" w:type="dxa"/>
            <w:tcBorders>
              <w:tl2br w:val="nil"/>
              <w:tr2bl w:val="nil"/>
            </w:tcBorders>
            <w:shd w:val="clear" w:color="auto" w:fill="auto"/>
            <w:vAlign w:val="center"/>
          </w:tcPr>
          <w:p>
            <w:pPr>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2</w:t>
            </w:r>
          </w:p>
        </w:tc>
        <w:tc>
          <w:tcPr>
            <w:tcW w:w="2197" w:type="dxa"/>
            <w:tcBorders>
              <w:tl2br w:val="nil"/>
              <w:tr2bl w:val="nil"/>
            </w:tcBorders>
            <w:shd w:val="clear" w:color="auto" w:fill="auto"/>
            <w:vAlign w:val="center"/>
          </w:tcPr>
          <w:p>
            <w:pPr>
              <w:jc w:val="center"/>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Bidding strategy and package design of electricity retailers</w:t>
            </w:r>
          </w:p>
        </w:tc>
        <w:tc>
          <w:tcPr>
            <w:tcW w:w="2835" w:type="dxa"/>
            <w:tcBorders>
              <w:tl2br w:val="nil"/>
              <w:tr2bl w:val="nil"/>
            </w:tcBorders>
            <w:shd w:val="clear" w:color="auto" w:fill="auto"/>
            <w:vAlign w:val="center"/>
          </w:tcPr>
          <w:p>
            <w:pPr>
              <w:jc w:val="center"/>
              <w:textAlignment w:val="center"/>
              <w:rPr>
                <w:rFonts w:hint="default" w:ascii="Times New Roman" w:hAnsi="Times New Roman" w:cs="Times New Roman"/>
                <w:color w:val="000000"/>
                <w:kern w:val="0"/>
                <w:sz w:val="21"/>
                <w:szCs w:val="21"/>
                <w:lang w:bidi="ar"/>
              </w:rPr>
            </w:pPr>
            <w:r>
              <w:rPr>
                <w:rFonts w:hint="default" w:ascii="Times New Roman" w:hAnsi="Times New Roman" w:cs="Times New Roman"/>
                <w:color w:val="000000"/>
                <w:kern w:val="0"/>
                <w:sz w:val="21"/>
                <w:szCs w:val="21"/>
                <w:lang w:bidi="ar"/>
              </w:rPr>
              <w:t>Proceedings - 2021 IEEE 4th International Conference on Renewable Energy and Power Engineering, REPE 2021；</w:t>
            </w:r>
          </w:p>
          <w:p>
            <w:pPr>
              <w:jc w:val="center"/>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出版商：Institute of Electrical and Electronics Engineers Inc.</w:t>
            </w:r>
          </w:p>
        </w:tc>
        <w:tc>
          <w:tcPr>
            <w:tcW w:w="1134" w:type="dxa"/>
            <w:tcBorders>
              <w:tl2br w:val="nil"/>
              <w:tr2bl w:val="nil"/>
            </w:tcBorders>
            <w:shd w:val="clear" w:color="auto" w:fill="auto"/>
            <w:vAlign w:val="center"/>
          </w:tcPr>
          <w:p>
            <w:pPr>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杨东源</w:t>
            </w:r>
          </w:p>
        </w:tc>
        <w:tc>
          <w:tcPr>
            <w:tcW w:w="1576" w:type="dxa"/>
            <w:tcBorders>
              <w:tl2br w:val="nil"/>
              <w:tr2bl w:val="nil"/>
            </w:tcBorders>
            <w:shd w:val="clear" w:color="auto" w:fill="auto"/>
            <w:vAlign w:val="center"/>
          </w:tcPr>
          <w:p>
            <w:pPr>
              <w:jc w:val="center"/>
              <w:rPr>
                <w:rFonts w:hint="default" w:ascii="Times New Roman" w:hAnsi="Times New Roman" w:cs="Times New Roman"/>
                <w:color w:val="000000"/>
                <w:kern w:val="0"/>
                <w:sz w:val="21"/>
                <w:szCs w:val="21"/>
              </w:rPr>
            </w:pPr>
            <w:r>
              <w:rPr>
                <w:rFonts w:hint="default" w:ascii="Times New Roman" w:hAnsi="Times New Roman" w:cs="Times New Roman"/>
                <w:color w:val="2E2E2E"/>
                <w:sz w:val="21"/>
                <w:szCs w:val="21"/>
                <w:shd w:val="clear" w:color="auto" w:fill="FFFFFF"/>
              </w:rPr>
              <w:t>见刊，EI检索号：20220511547234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10" w:hRule="atLeast"/>
        </w:trPr>
        <w:tc>
          <w:tcPr>
            <w:tcW w:w="775" w:type="dxa"/>
            <w:tcBorders>
              <w:tl2br w:val="nil"/>
              <w:tr2bl w:val="nil"/>
            </w:tcBorders>
            <w:shd w:val="clear" w:color="auto" w:fill="auto"/>
            <w:vAlign w:val="center"/>
          </w:tcPr>
          <w:p>
            <w:pPr>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3</w:t>
            </w:r>
          </w:p>
        </w:tc>
        <w:tc>
          <w:tcPr>
            <w:tcW w:w="2197" w:type="dxa"/>
            <w:tcBorders>
              <w:tl2br w:val="nil"/>
              <w:tr2bl w:val="nil"/>
            </w:tcBorders>
            <w:shd w:val="clear" w:color="auto" w:fill="auto"/>
            <w:vAlign w:val="center"/>
          </w:tcPr>
          <w:p>
            <w:pPr>
              <w:jc w:val="center"/>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Optimization of Retail Packages Adapted to the Electricity Spot</w:t>
            </w:r>
          </w:p>
        </w:tc>
        <w:tc>
          <w:tcPr>
            <w:tcW w:w="2835" w:type="dxa"/>
            <w:tcBorders>
              <w:tl2br w:val="nil"/>
              <w:tr2bl w:val="nil"/>
            </w:tcBorders>
            <w:shd w:val="clear" w:color="auto" w:fill="auto"/>
            <w:vAlign w:val="center"/>
          </w:tcPr>
          <w:p>
            <w:pPr>
              <w:jc w:val="center"/>
              <w:textAlignment w:val="center"/>
              <w:rPr>
                <w:rFonts w:hint="default" w:ascii="Times New Roman" w:hAnsi="Times New Roman" w:cs="Times New Roman"/>
                <w:color w:val="000000"/>
                <w:kern w:val="0"/>
                <w:sz w:val="21"/>
                <w:szCs w:val="21"/>
                <w:lang w:bidi="ar"/>
              </w:rPr>
            </w:pPr>
            <w:r>
              <w:rPr>
                <w:rFonts w:hint="default" w:ascii="Times New Roman" w:hAnsi="Times New Roman" w:cs="Times New Roman"/>
                <w:color w:val="000000"/>
                <w:kern w:val="0"/>
                <w:sz w:val="21"/>
                <w:szCs w:val="21"/>
                <w:lang w:bidi="ar"/>
              </w:rPr>
              <w:t>Proceedings - 2021 IEEE 4th International Conference on Renewable Energy and Power Engineering, REPE 2021；</w:t>
            </w:r>
          </w:p>
          <w:p>
            <w:pPr>
              <w:jc w:val="center"/>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出版商：Institute of Electrical and Electronics Engineers Inc.</w:t>
            </w:r>
          </w:p>
        </w:tc>
        <w:tc>
          <w:tcPr>
            <w:tcW w:w="1134" w:type="dxa"/>
            <w:tcBorders>
              <w:tl2br w:val="nil"/>
              <w:tr2bl w:val="nil"/>
            </w:tcBorders>
            <w:shd w:val="clear" w:color="auto" w:fill="auto"/>
            <w:vAlign w:val="center"/>
          </w:tcPr>
          <w:p>
            <w:pPr>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王帮灿</w:t>
            </w:r>
          </w:p>
        </w:tc>
        <w:tc>
          <w:tcPr>
            <w:tcW w:w="1576" w:type="dxa"/>
            <w:tcBorders>
              <w:tl2br w:val="nil"/>
              <w:tr2bl w:val="nil"/>
            </w:tcBorders>
            <w:shd w:val="clear" w:color="auto" w:fill="auto"/>
            <w:vAlign w:val="center"/>
          </w:tcPr>
          <w:p>
            <w:pPr>
              <w:jc w:val="center"/>
              <w:rPr>
                <w:rFonts w:hint="default" w:ascii="Times New Roman" w:hAnsi="Times New Roman" w:cs="Times New Roman"/>
                <w:color w:val="000000"/>
                <w:kern w:val="0"/>
                <w:sz w:val="21"/>
                <w:szCs w:val="21"/>
              </w:rPr>
            </w:pPr>
            <w:r>
              <w:rPr>
                <w:rFonts w:hint="default" w:ascii="Times New Roman" w:hAnsi="Times New Roman" w:cs="Times New Roman"/>
                <w:color w:val="2E2E2E"/>
                <w:sz w:val="21"/>
                <w:szCs w:val="21"/>
                <w:shd w:val="clear" w:color="auto" w:fill="FFFFFF"/>
              </w:rPr>
              <w:t>见刊，EI检索号：20220511547220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5" w:hRule="atLeast"/>
        </w:trPr>
        <w:tc>
          <w:tcPr>
            <w:tcW w:w="775" w:type="dxa"/>
            <w:tcBorders>
              <w:tl2br w:val="nil"/>
              <w:tr2bl w:val="nil"/>
            </w:tcBorders>
            <w:shd w:val="clear" w:color="auto" w:fill="auto"/>
            <w:vAlign w:val="center"/>
          </w:tcPr>
          <w:p>
            <w:pPr>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4</w:t>
            </w:r>
          </w:p>
        </w:tc>
        <w:tc>
          <w:tcPr>
            <w:tcW w:w="2197" w:type="dxa"/>
            <w:tcBorders>
              <w:tl2br w:val="nil"/>
              <w:tr2bl w:val="nil"/>
            </w:tcBorders>
            <w:shd w:val="clear" w:color="auto" w:fill="auto"/>
            <w:vAlign w:val="center"/>
          </w:tcPr>
          <w:p>
            <w:pPr>
              <w:jc w:val="center"/>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Design and Application of Electric Power Retail platform based on e-commerce mode in yunnan province</w:t>
            </w:r>
          </w:p>
        </w:tc>
        <w:tc>
          <w:tcPr>
            <w:tcW w:w="2835" w:type="dxa"/>
            <w:tcBorders>
              <w:tl2br w:val="nil"/>
              <w:tr2bl w:val="nil"/>
            </w:tcBorders>
            <w:shd w:val="clear" w:color="auto" w:fill="auto"/>
            <w:vAlign w:val="center"/>
          </w:tcPr>
          <w:p>
            <w:pPr>
              <w:jc w:val="center"/>
              <w:textAlignment w:val="center"/>
              <w:rPr>
                <w:rFonts w:hint="default" w:ascii="Times New Roman" w:hAnsi="Times New Roman" w:cs="Times New Roman"/>
                <w:color w:val="000000"/>
                <w:kern w:val="0"/>
                <w:sz w:val="21"/>
                <w:szCs w:val="21"/>
                <w:lang w:bidi="ar"/>
              </w:rPr>
            </w:pPr>
            <w:r>
              <w:rPr>
                <w:rFonts w:hint="default" w:ascii="Times New Roman" w:hAnsi="Times New Roman" w:cs="Times New Roman"/>
                <w:color w:val="000000"/>
                <w:kern w:val="0"/>
                <w:sz w:val="21"/>
                <w:szCs w:val="21"/>
                <w:lang w:bidi="ar"/>
              </w:rPr>
              <w:t>Proceedings - 2021 IEEE Sustainable Power and Energy Conference: Energy Transition for Carbon Neutrality, iSPEC 2021</w:t>
            </w:r>
          </w:p>
          <w:p>
            <w:pPr>
              <w:jc w:val="center"/>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出版商：Institute of Electrical and Electronics Engineers Inc.</w:t>
            </w:r>
          </w:p>
        </w:tc>
        <w:tc>
          <w:tcPr>
            <w:tcW w:w="1134" w:type="dxa"/>
            <w:tcBorders>
              <w:tl2br w:val="nil"/>
              <w:tr2bl w:val="nil"/>
            </w:tcBorders>
            <w:shd w:val="clear" w:color="auto" w:fill="auto"/>
            <w:vAlign w:val="center"/>
          </w:tcPr>
          <w:p>
            <w:pPr>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杨璇</w:t>
            </w:r>
          </w:p>
        </w:tc>
        <w:tc>
          <w:tcPr>
            <w:tcW w:w="1576" w:type="dxa"/>
            <w:tcBorders>
              <w:tl2br w:val="nil"/>
              <w:tr2bl w:val="nil"/>
            </w:tcBorders>
            <w:shd w:val="clear" w:color="auto" w:fill="auto"/>
            <w:vAlign w:val="center"/>
          </w:tcPr>
          <w:p>
            <w:pPr>
              <w:jc w:val="center"/>
              <w:rPr>
                <w:rFonts w:hint="default" w:ascii="Times New Roman" w:hAnsi="Times New Roman" w:cs="Times New Roman"/>
                <w:color w:val="000000"/>
                <w:kern w:val="0"/>
                <w:sz w:val="21"/>
                <w:szCs w:val="21"/>
              </w:rPr>
            </w:pPr>
            <w:r>
              <w:rPr>
                <w:rFonts w:hint="default" w:ascii="Times New Roman" w:hAnsi="Times New Roman" w:cs="Times New Roman"/>
                <w:color w:val="2E2E2E"/>
                <w:sz w:val="21"/>
                <w:szCs w:val="21"/>
                <w:shd w:val="clear" w:color="auto" w:fill="FFFFFF"/>
              </w:rPr>
              <w:t>见刊，EI检索号：20221611966896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64" w:hRule="atLeast"/>
        </w:trPr>
        <w:tc>
          <w:tcPr>
            <w:tcW w:w="775" w:type="dxa"/>
            <w:tcBorders>
              <w:tl2br w:val="nil"/>
              <w:tr2bl w:val="nil"/>
            </w:tcBorders>
            <w:shd w:val="clear" w:color="auto" w:fill="auto"/>
            <w:vAlign w:val="center"/>
          </w:tcPr>
          <w:p>
            <w:pPr>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5</w:t>
            </w:r>
          </w:p>
        </w:tc>
        <w:tc>
          <w:tcPr>
            <w:tcW w:w="2197" w:type="dxa"/>
            <w:tcBorders>
              <w:tl2br w:val="nil"/>
              <w:tr2bl w:val="nil"/>
            </w:tcBorders>
            <w:shd w:val="clear" w:color="auto" w:fill="auto"/>
            <w:vAlign w:val="center"/>
          </w:tcPr>
          <w:p>
            <w:pPr>
              <w:jc w:val="center"/>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Efficiency Evaluation of Power Market and Standardization Design of Electricity Transaction</w:t>
            </w:r>
          </w:p>
        </w:tc>
        <w:tc>
          <w:tcPr>
            <w:tcW w:w="2835" w:type="dxa"/>
            <w:tcBorders>
              <w:tl2br w:val="nil"/>
              <w:tr2bl w:val="nil"/>
            </w:tcBorders>
            <w:shd w:val="clear" w:color="auto" w:fill="auto"/>
            <w:vAlign w:val="center"/>
          </w:tcPr>
          <w:p>
            <w:pPr>
              <w:jc w:val="center"/>
              <w:textAlignment w:val="center"/>
              <w:rPr>
                <w:rFonts w:hint="default" w:ascii="Times New Roman" w:hAnsi="Times New Roman" w:cs="Times New Roman"/>
                <w:b/>
                <w:bCs/>
                <w:i/>
                <w:iCs/>
                <w:color w:val="2E2E2E"/>
                <w:sz w:val="21"/>
                <w:szCs w:val="21"/>
                <w:shd w:val="clear" w:color="auto" w:fill="FFFFFF"/>
              </w:rPr>
            </w:pPr>
            <w:r>
              <w:rPr>
                <w:rFonts w:hint="default" w:ascii="Times New Roman" w:hAnsi="Times New Roman" w:cs="Times New Roman"/>
                <w:color w:val="000000"/>
                <w:kern w:val="0"/>
                <w:sz w:val="21"/>
                <w:szCs w:val="21"/>
                <w:lang w:bidi="ar"/>
              </w:rPr>
              <w:t>Proceedings - 2020 IEEE 1st China International Youth Conference on Electrical Engineering, CIYCEE 2020；</w:t>
            </w:r>
          </w:p>
          <w:p>
            <w:pPr>
              <w:jc w:val="center"/>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出版商：Institute of Electrical and Electronics Engineers Inc.</w:t>
            </w:r>
          </w:p>
        </w:tc>
        <w:tc>
          <w:tcPr>
            <w:tcW w:w="1134" w:type="dxa"/>
            <w:tcBorders>
              <w:tl2br w:val="nil"/>
              <w:tr2bl w:val="nil"/>
            </w:tcBorders>
            <w:shd w:val="clear" w:color="auto" w:fill="auto"/>
            <w:vAlign w:val="center"/>
          </w:tcPr>
          <w:p>
            <w:pPr>
              <w:jc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rPr>
              <w:t>杨东源</w:t>
            </w:r>
          </w:p>
        </w:tc>
        <w:tc>
          <w:tcPr>
            <w:tcW w:w="1576" w:type="dxa"/>
            <w:tcBorders>
              <w:tl2br w:val="nil"/>
              <w:tr2bl w:val="nil"/>
            </w:tcBorders>
            <w:shd w:val="clear" w:color="auto" w:fill="auto"/>
            <w:vAlign w:val="center"/>
          </w:tcPr>
          <w:p>
            <w:pPr>
              <w:jc w:val="center"/>
              <w:rPr>
                <w:rFonts w:hint="default" w:ascii="Times New Roman" w:hAnsi="Times New Roman" w:cs="Times New Roman"/>
                <w:color w:val="000000"/>
                <w:kern w:val="0"/>
                <w:sz w:val="21"/>
                <w:szCs w:val="21"/>
              </w:rPr>
            </w:pPr>
            <w:r>
              <w:rPr>
                <w:rFonts w:hint="default" w:ascii="Times New Roman" w:hAnsi="Times New Roman" w:cs="Times New Roman"/>
                <w:color w:val="2E2E2E"/>
                <w:sz w:val="21"/>
                <w:szCs w:val="21"/>
                <w:shd w:val="clear" w:color="auto" w:fill="FFFFFF"/>
              </w:rPr>
              <w:t>见刊，EI检索号：20210709921305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64" w:hRule="atLeast"/>
        </w:trPr>
        <w:tc>
          <w:tcPr>
            <w:tcW w:w="775" w:type="dxa"/>
            <w:tcBorders>
              <w:tl2br w:val="nil"/>
              <w:tr2bl w:val="nil"/>
            </w:tcBorders>
            <w:shd w:val="clear" w:color="auto" w:fill="auto"/>
            <w:vAlign w:val="center"/>
          </w:tcPr>
          <w:p>
            <w:pPr>
              <w:jc w:val="center"/>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6</w:t>
            </w:r>
          </w:p>
        </w:tc>
        <w:tc>
          <w:tcPr>
            <w:tcW w:w="2197" w:type="dxa"/>
            <w:tcBorders>
              <w:tl2br w:val="nil"/>
              <w:tr2bl w:val="nil"/>
            </w:tcBorders>
            <w:shd w:val="clear" w:color="auto" w:fill="auto"/>
            <w:vAlign w:val="center"/>
          </w:tcPr>
          <w:p>
            <w:pPr>
              <w:jc w:val="center"/>
              <w:textAlignment w:val="center"/>
              <w:rPr>
                <w:rFonts w:hint="default" w:ascii="Times New Roman" w:hAnsi="Times New Roman" w:cs="Times New Roman"/>
                <w:color w:val="000000"/>
                <w:kern w:val="0"/>
                <w:sz w:val="21"/>
                <w:szCs w:val="21"/>
                <w:lang w:bidi="ar"/>
              </w:rPr>
            </w:pPr>
            <w:r>
              <w:rPr>
                <w:rFonts w:hint="default" w:ascii="Times New Roman" w:hAnsi="Times New Roman" w:cs="Times New Roman"/>
                <w:color w:val="000000"/>
                <w:kern w:val="0"/>
                <w:sz w:val="21"/>
                <w:szCs w:val="21"/>
                <w:lang w:bidi="ar"/>
              </w:rPr>
              <w:t>Design of Peak-Valley TOU Customized Package Based on Choice Behavior of Users</w:t>
            </w:r>
          </w:p>
        </w:tc>
        <w:tc>
          <w:tcPr>
            <w:tcW w:w="2835" w:type="dxa"/>
            <w:tcBorders>
              <w:tl2br w:val="nil"/>
              <w:tr2bl w:val="nil"/>
            </w:tcBorders>
            <w:shd w:val="clear" w:color="auto" w:fill="auto"/>
            <w:vAlign w:val="center"/>
          </w:tcPr>
          <w:p>
            <w:pPr>
              <w:jc w:val="center"/>
              <w:textAlignment w:val="center"/>
              <w:rPr>
                <w:rFonts w:hint="default" w:ascii="Times New Roman" w:hAnsi="Times New Roman" w:cs="Times New Roman"/>
                <w:color w:val="000000"/>
                <w:kern w:val="0"/>
                <w:sz w:val="21"/>
                <w:szCs w:val="21"/>
                <w:lang w:bidi="ar"/>
              </w:rPr>
            </w:pPr>
            <w:r>
              <w:rPr>
                <w:rFonts w:hint="default" w:ascii="Times New Roman" w:hAnsi="Times New Roman" w:cs="Times New Roman"/>
                <w:color w:val="000000"/>
                <w:kern w:val="0"/>
                <w:sz w:val="21"/>
                <w:szCs w:val="21"/>
                <w:lang w:bidi="ar"/>
              </w:rPr>
              <w:t>Proceedings - 2022 Power System and Green Energy Conference, PSGEC2022；</w:t>
            </w:r>
          </w:p>
          <w:p>
            <w:pPr>
              <w:jc w:val="center"/>
              <w:textAlignment w:val="center"/>
              <w:rPr>
                <w:rFonts w:hint="default" w:ascii="Times New Roman" w:hAnsi="Times New Roman" w:cs="Times New Roman"/>
                <w:color w:val="000000"/>
                <w:kern w:val="0"/>
                <w:sz w:val="21"/>
                <w:szCs w:val="21"/>
                <w:lang w:bidi="ar"/>
              </w:rPr>
            </w:pPr>
            <w:r>
              <w:rPr>
                <w:rFonts w:hint="default" w:ascii="Times New Roman" w:hAnsi="Times New Roman" w:cs="Times New Roman"/>
                <w:color w:val="000000"/>
                <w:kern w:val="0"/>
                <w:sz w:val="21"/>
                <w:szCs w:val="21"/>
                <w:lang w:bidi="ar"/>
              </w:rPr>
              <w:t>出版商：Institute of Electrical and Electronics Engineers Inc.</w:t>
            </w:r>
          </w:p>
        </w:tc>
        <w:tc>
          <w:tcPr>
            <w:tcW w:w="1134" w:type="dxa"/>
            <w:tcBorders>
              <w:tl2br w:val="nil"/>
              <w:tr2bl w:val="nil"/>
            </w:tcBorders>
            <w:shd w:val="clear" w:color="auto" w:fill="auto"/>
            <w:vAlign w:val="center"/>
          </w:tcPr>
          <w:p>
            <w:pPr>
              <w:jc w:val="center"/>
              <w:textAlignment w:val="center"/>
              <w:rPr>
                <w:rFonts w:hint="default" w:ascii="Times New Roman" w:hAnsi="Times New Roman" w:cs="Times New Roman"/>
                <w:color w:val="000000"/>
                <w:kern w:val="0"/>
                <w:sz w:val="21"/>
                <w:szCs w:val="21"/>
              </w:rPr>
            </w:pPr>
            <w:r>
              <w:rPr>
                <w:rFonts w:hint="default" w:ascii="Times New Roman" w:hAnsi="Times New Roman" w:cs="Times New Roman"/>
                <w:color w:val="000000"/>
                <w:kern w:val="0"/>
                <w:sz w:val="21"/>
                <w:szCs w:val="21"/>
                <w:lang w:bidi="ar"/>
              </w:rPr>
              <w:t>丁文娇</w:t>
            </w:r>
          </w:p>
        </w:tc>
        <w:tc>
          <w:tcPr>
            <w:tcW w:w="1576" w:type="dxa"/>
            <w:tcBorders>
              <w:tl2br w:val="nil"/>
              <w:tr2bl w:val="nil"/>
            </w:tcBorders>
            <w:shd w:val="clear" w:color="auto" w:fill="auto"/>
            <w:vAlign w:val="center"/>
          </w:tcPr>
          <w:p>
            <w:pPr>
              <w:jc w:val="center"/>
              <w:textAlignment w:val="center"/>
              <w:rPr>
                <w:rFonts w:hint="default" w:ascii="Times New Roman" w:hAnsi="Times New Roman" w:cs="Times New Roman"/>
                <w:color w:val="2E2E2E"/>
                <w:sz w:val="21"/>
                <w:szCs w:val="21"/>
                <w:shd w:val="clear" w:color="auto" w:fill="FFFFFF"/>
              </w:rPr>
            </w:pPr>
            <w:r>
              <w:rPr>
                <w:rFonts w:hint="default" w:ascii="Times New Roman" w:hAnsi="Times New Roman" w:cs="Times New Roman"/>
                <w:color w:val="000000"/>
                <w:kern w:val="0"/>
                <w:sz w:val="21"/>
                <w:szCs w:val="21"/>
                <w:lang w:bidi="ar"/>
              </w:rPr>
              <w:t xml:space="preserve">见刊，EI检索号：20224112865893 </w:t>
            </w:r>
          </w:p>
        </w:tc>
      </w:tr>
    </w:tbl>
    <w:p/>
    <w:p>
      <w:pPr>
        <w:spacing w:line="30" w:lineRule="exact"/>
      </w:pPr>
    </w:p>
    <w:p>
      <w:pPr>
        <w:rPr>
          <w:rFonts w:ascii="Arial"/>
          <w:sz w:val="21"/>
        </w:rPr>
      </w:pPr>
    </w:p>
    <w:p>
      <w:pPr>
        <w:sectPr>
          <w:footerReference r:id="rId5" w:type="default"/>
          <w:pgSz w:w="11907" w:h="16839"/>
          <w:pgMar w:top="1431" w:right="1785" w:bottom="1151" w:left="1785" w:header="0" w:footer="986" w:gutter="0"/>
          <w:cols w:space="720" w:num="1"/>
        </w:sectPr>
      </w:pPr>
    </w:p>
    <w:p>
      <w:pPr>
        <w:spacing w:line="91" w:lineRule="auto"/>
        <w:rPr>
          <w:rFonts w:ascii="Arial"/>
          <w:sz w:val="2"/>
        </w:rPr>
      </w:pPr>
    </w:p>
    <w:p>
      <w:pPr>
        <w:spacing w:before="91" w:line="219" w:lineRule="auto"/>
        <w:jc w:val="left"/>
        <w:outlineLvl w:val="0"/>
        <w:rPr>
          <w:rFonts w:ascii="宋体" w:hAnsi="宋体" w:eastAsia="宋体" w:cs="宋体"/>
          <w:color w:val="333333"/>
          <w:spacing w:val="-1"/>
          <w:sz w:val="28"/>
          <w:szCs w:val="28"/>
          <w14:textOutline w14:w="5094" w14:cap="flat" w14:cmpd="sng">
            <w14:solidFill>
              <w14:srgbClr w14:val="333333"/>
            </w14:solidFill>
            <w14:prstDash w14:val="solid"/>
            <w14:miter w14:val="0"/>
          </w14:textOutline>
        </w:rPr>
      </w:pPr>
      <w:r>
        <w:rPr>
          <w:rFonts w:hint="eastAsia" w:ascii="宋体" w:hAnsi="宋体" w:eastAsia="宋体" w:cs="宋体"/>
          <w:color w:val="333333"/>
          <w:spacing w:val="-1"/>
          <w:sz w:val="28"/>
          <w:szCs w:val="28"/>
          <w:lang w:val="en-US" w:eastAsia="zh-CN"/>
          <w14:textOutline w14:w="5094" w14:cap="flat" w14:cmpd="sng">
            <w14:solidFill>
              <w14:srgbClr w14:val="333333"/>
            </w14:solidFill>
            <w14:prstDash w14:val="solid"/>
            <w14:miter w14:val="0"/>
          </w14:textOutline>
        </w:rPr>
        <w:t>四</w:t>
      </w:r>
      <w:r>
        <w:rPr>
          <w:rFonts w:ascii="宋体" w:hAnsi="宋体" w:eastAsia="宋体" w:cs="宋体"/>
          <w:color w:val="333333"/>
          <w:spacing w:val="-1"/>
          <w:sz w:val="28"/>
          <w:szCs w:val="28"/>
          <w14:textOutline w14:w="5094" w14:cap="flat" w14:cmpd="sng">
            <w14:solidFill>
              <w14:srgbClr w14:val="333333"/>
            </w14:solidFill>
            <w14:prstDash w14:val="solid"/>
            <w14:miter w14:val="0"/>
          </w14:textOutline>
        </w:rPr>
        <w:t>、 主要完成人基本情况</w:t>
      </w:r>
    </w:p>
    <w:p>
      <w:pPr>
        <w:spacing w:line="131" w:lineRule="exact"/>
      </w:pPr>
    </w:p>
    <w:tbl>
      <w:tblPr>
        <w:tblStyle w:val="5"/>
        <w:tblW w:w="837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08"/>
        <w:gridCol w:w="1507"/>
        <w:gridCol w:w="2166"/>
        <w:gridCol w:w="328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8" w:hRule="atLeast"/>
        </w:trPr>
        <w:tc>
          <w:tcPr>
            <w:tcW w:w="1408" w:type="dxa"/>
            <w:vAlign w:val="top"/>
          </w:tcPr>
          <w:p>
            <w:pPr>
              <w:spacing w:before="279" w:line="222" w:lineRule="auto"/>
              <w:ind w:left="499"/>
              <w:rPr>
                <w:rFonts w:ascii="宋体" w:hAnsi="宋体" w:eastAsia="宋体" w:cs="宋体"/>
                <w:sz w:val="21"/>
                <w:szCs w:val="21"/>
              </w:rPr>
            </w:pPr>
            <w:r>
              <w:rPr>
                <w:rFonts w:ascii="宋体" w:hAnsi="宋体" w:eastAsia="宋体" w:cs="宋体"/>
                <w:spacing w:val="-2"/>
                <w:sz w:val="21"/>
                <w:szCs w:val="21"/>
              </w:rPr>
              <w:t>序</w:t>
            </w:r>
            <w:r>
              <w:rPr>
                <w:rFonts w:ascii="宋体" w:hAnsi="宋体" w:eastAsia="宋体" w:cs="宋体"/>
                <w:spacing w:val="-1"/>
                <w:sz w:val="21"/>
                <w:szCs w:val="21"/>
              </w:rPr>
              <w:t>号</w:t>
            </w:r>
          </w:p>
        </w:tc>
        <w:tc>
          <w:tcPr>
            <w:tcW w:w="1507" w:type="dxa"/>
            <w:vAlign w:val="top"/>
          </w:tcPr>
          <w:p>
            <w:pPr>
              <w:spacing w:before="278" w:line="221" w:lineRule="auto"/>
              <w:ind w:left="546"/>
              <w:rPr>
                <w:rFonts w:ascii="宋体" w:hAnsi="宋体" w:eastAsia="宋体" w:cs="宋体"/>
                <w:sz w:val="21"/>
                <w:szCs w:val="21"/>
              </w:rPr>
            </w:pPr>
            <w:r>
              <w:rPr>
                <w:rFonts w:ascii="宋体" w:hAnsi="宋体" w:eastAsia="宋体" w:cs="宋体"/>
                <w:spacing w:val="-2"/>
                <w:sz w:val="21"/>
                <w:szCs w:val="21"/>
              </w:rPr>
              <w:t>姓</w:t>
            </w:r>
            <w:r>
              <w:rPr>
                <w:rFonts w:ascii="宋体" w:hAnsi="宋体" w:eastAsia="宋体" w:cs="宋体"/>
                <w:spacing w:val="-1"/>
                <w:sz w:val="21"/>
                <w:szCs w:val="21"/>
              </w:rPr>
              <w:t>名</w:t>
            </w:r>
          </w:p>
        </w:tc>
        <w:tc>
          <w:tcPr>
            <w:tcW w:w="2166" w:type="dxa"/>
            <w:vAlign w:val="top"/>
          </w:tcPr>
          <w:p>
            <w:pPr>
              <w:spacing w:before="278" w:line="221" w:lineRule="auto"/>
              <w:ind w:left="617"/>
              <w:rPr>
                <w:rFonts w:ascii="宋体" w:hAnsi="宋体" w:eastAsia="宋体" w:cs="宋体"/>
                <w:sz w:val="21"/>
                <w:szCs w:val="21"/>
              </w:rPr>
            </w:pPr>
            <w:r>
              <w:rPr>
                <w:rFonts w:ascii="宋体" w:hAnsi="宋体" w:eastAsia="宋体" w:cs="宋体"/>
                <w:spacing w:val="-2"/>
                <w:sz w:val="21"/>
                <w:szCs w:val="21"/>
              </w:rPr>
              <w:t>职</w:t>
            </w:r>
            <w:r>
              <w:rPr>
                <w:rFonts w:ascii="宋体" w:hAnsi="宋体" w:eastAsia="宋体" w:cs="宋体"/>
                <w:spacing w:val="-1"/>
                <w:sz w:val="21"/>
                <w:szCs w:val="21"/>
              </w:rPr>
              <w:t>称/职务</w:t>
            </w:r>
          </w:p>
        </w:tc>
        <w:tc>
          <w:tcPr>
            <w:tcW w:w="3289" w:type="dxa"/>
            <w:vAlign w:val="top"/>
          </w:tcPr>
          <w:p>
            <w:pPr>
              <w:spacing w:before="279" w:line="221" w:lineRule="auto"/>
              <w:ind w:left="1231"/>
              <w:rPr>
                <w:rFonts w:ascii="宋体" w:hAnsi="宋体" w:eastAsia="宋体" w:cs="宋体"/>
                <w:sz w:val="21"/>
                <w:szCs w:val="21"/>
              </w:rPr>
            </w:pPr>
            <w:r>
              <w:rPr>
                <w:rFonts w:ascii="宋体" w:hAnsi="宋体" w:eastAsia="宋体" w:cs="宋体"/>
                <w:spacing w:val="-2"/>
                <w:sz w:val="21"/>
                <w:szCs w:val="21"/>
              </w:rPr>
              <w:t>工作单位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trPr>
        <w:tc>
          <w:tcPr>
            <w:tcW w:w="1408" w:type="dxa"/>
            <w:vAlign w:val="center"/>
          </w:tcPr>
          <w:p>
            <w:pPr>
              <w:spacing w:before="271" w:line="186" w:lineRule="auto"/>
              <w:ind w:left="131"/>
              <w:jc w:val="center"/>
              <w:rPr>
                <w:rFonts w:ascii="宋体" w:hAnsi="宋体" w:eastAsia="宋体" w:cs="宋体"/>
                <w:sz w:val="21"/>
                <w:szCs w:val="21"/>
              </w:rPr>
            </w:pPr>
            <w:r>
              <w:rPr>
                <w:rFonts w:ascii="宋体" w:hAnsi="宋体" w:eastAsia="宋体" w:cs="宋体"/>
                <w:sz w:val="21"/>
                <w:szCs w:val="21"/>
              </w:rPr>
              <w:t>1</w:t>
            </w:r>
          </w:p>
        </w:tc>
        <w:tc>
          <w:tcPr>
            <w:tcW w:w="1507" w:type="dxa"/>
            <w:vAlign w:val="center"/>
          </w:tcPr>
          <w:p>
            <w:pPr>
              <w:jc w:val="center"/>
              <w:rPr>
                <w:rFonts w:hint="eastAsia" w:cs="Times New Roman" w:asciiTheme="minorEastAsia" w:hAnsiTheme="minorEastAsia" w:eastAsiaTheme="minorEastAsia"/>
                <w:lang w:val="en-US" w:eastAsia="zh-CN"/>
              </w:rPr>
            </w:pPr>
            <w:r>
              <w:rPr>
                <w:rFonts w:hint="eastAsia" w:cs="Times New Roman" w:asciiTheme="minorEastAsia" w:hAnsiTheme="minorEastAsia" w:eastAsiaTheme="minorEastAsia"/>
                <w:lang w:val="en-US" w:eastAsia="zh-CN"/>
              </w:rPr>
              <w:t>王帮灿</w:t>
            </w:r>
          </w:p>
        </w:tc>
        <w:tc>
          <w:tcPr>
            <w:tcW w:w="2166" w:type="dxa"/>
            <w:vAlign w:val="center"/>
          </w:tcPr>
          <w:p>
            <w:pPr>
              <w:jc w:val="center"/>
              <w:rPr>
                <w:rFonts w:ascii="宋体" w:hAnsi="宋体" w:eastAsia="宋体" w:cs="宋体"/>
                <w:sz w:val="21"/>
                <w:szCs w:val="21"/>
              </w:rPr>
            </w:pPr>
            <w:r>
              <w:rPr>
                <w:rFonts w:hint="eastAsia" w:cs="Times New Roman" w:asciiTheme="minorEastAsia" w:hAnsiTheme="minorEastAsia" w:eastAsiaTheme="minorEastAsia"/>
                <w:lang w:val="en-US" w:eastAsia="zh-CN"/>
              </w:rPr>
              <w:t>高级工程师</w:t>
            </w:r>
          </w:p>
        </w:tc>
        <w:tc>
          <w:tcPr>
            <w:tcW w:w="3289" w:type="dxa"/>
            <w:vAlign w:val="center"/>
          </w:tcPr>
          <w:p>
            <w:pPr>
              <w:jc w:val="center"/>
              <w:rPr>
                <w:rFonts w:ascii="宋体" w:hAnsi="宋体" w:eastAsia="宋体" w:cs="宋体"/>
                <w:sz w:val="21"/>
                <w:szCs w:val="21"/>
              </w:rPr>
            </w:pPr>
            <w:r>
              <w:rPr>
                <w:rFonts w:asciiTheme="minorEastAsia" w:hAnsiTheme="minorEastAsia" w:eastAsiaTheme="minorEastAsia"/>
              </w:rPr>
              <w:t>昆明电力交易中心有限责任公司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6" w:hRule="atLeast"/>
        </w:trPr>
        <w:tc>
          <w:tcPr>
            <w:tcW w:w="1408" w:type="dxa"/>
            <w:vAlign w:val="center"/>
          </w:tcPr>
          <w:p>
            <w:pPr>
              <w:spacing w:before="272" w:line="185" w:lineRule="auto"/>
              <w:ind w:left="118"/>
              <w:jc w:val="center"/>
              <w:rPr>
                <w:rFonts w:ascii="宋体" w:hAnsi="宋体" w:eastAsia="宋体" w:cs="宋体"/>
                <w:sz w:val="21"/>
                <w:szCs w:val="21"/>
              </w:rPr>
            </w:pPr>
            <w:r>
              <w:rPr>
                <w:rFonts w:ascii="宋体" w:hAnsi="宋体" w:eastAsia="宋体" w:cs="宋体"/>
                <w:sz w:val="21"/>
                <w:szCs w:val="21"/>
              </w:rPr>
              <w:t>2</w:t>
            </w:r>
          </w:p>
        </w:tc>
        <w:tc>
          <w:tcPr>
            <w:tcW w:w="1507" w:type="dxa"/>
            <w:vAlign w:val="center"/>
          </w:tcPr>
          <w:p>
            <w:pPr>
              <w:jc w:val="center"/>
              <w:rPr>
                <w:rFonts w:hint="eastAsia" w:cs="Times New Roman" w:asciiTheme="minorEastAsia" w:hAnsiTheme="minorEastAsia" w:eastAsiaTheme="minorEastAsia"/>
                <w:lang w:val="en-US" w:eastAsia="zh-CN"/>
              </w:rPr>
            </w:pPr>
            <w:r>
              <w:rPr>
                <w:rFonts w:hint="eastAsia" w:cs="Times New Roman" w:asciiTheme="minorEastAsia" w:hAnsiTheme="minorEastAsia" w:eastAsiaTheme="minorEastAsia"/>
                <w:lang w:val="en-US" w:eastAsia="zh-CN"/>
              </w:rPr>
              <w:t>陈  然</w:t>
            </w:r>
          </w:p>
        </w:tc>
        <w:tc>
          <w:tcPr>
            <w:tcW w:w="2166" w:type="dxa"/>
            <w:vAlign w:val="center"/>
          </w:tcPr>
          <w:p>
            <w:pPr>
              <w:jc w:val="center"/>
              <w:rPr>
                <w:rFonts w:ascii="宋体" w:hAnsi="宋体" w:eastAsia="宋体" w:cs="宋体"/>
                <w:sz w:val="21"/>
                <w:szCs w:val="21"/>
              </w:rPr>
            </w:pPr>
            <w:r>
              <w:rPr>
                <w:rFonts w:hint="eastAsia" w:cs="Times New Roman" w:asciiTheme="minorEastAsia" w:hAnsiTheme="minorEastAsia" w:eastAsiaTheme="minorEastAsia"/>
                <w:lang w:val="en-US" w:eastAsia="zh-CN"/>
              </w:rPr>
              <w:t>高级工程师</w:t>
            </w:r>
          </w:p>
        </w:tc>
        <w:tc>
          <w:tcPr>
            <w:tcW w:w="3289" w:type="dxa"/>
            <w:vAlign w:val="center"/>
          </w:tcPr>
          <w:p>
            <w:pPr>
              <w:jc w:val="center"/>
              <w:rPr>
                <w:rFonts w:ascii="宋体" w:hAnsi="宋体" w:eastAsia="宋体" w:cs="宋体"/>
                <w:sz w:val="21"/>
                <w:szCs w:val="21"/>
              </w:rPr>
            </w:pPr>
            <w:r>
              <w:rPr>
                <w:rFonts w:asciiTheme="minorEastAsia" w:hAnsiTheme="minorEastAsia" w:eastAsiaTheme="minorEastAsia"/>
              </w:rPr>
              <w:t>昆明电力交易中心有限责任公司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trPr>
        <w:tc>
          <w:tcPr>
            <w:tcW w:w="1408" w:type="dxa"/>
            <w:vAlign w:val="center"/>
          </w:tcPr>
          <w:p>
            <w:pPr>
              <w:spacing w:before="271" w:line="183" w:lineRule="auto"/>
              <w:ind w:left="120"/>
              <w:jc w:val="center"/>
              <w:rPr>
                <w:rFonts w:ascii="宋体" w:hAnsi="宋体" w:eastAsia="宋体" w:cs="宋体"/>
                <w:sz w:val="21"/>
                <w:szCs w:val="21"/>
              </w:rPr>
            </w:pPr>
            <w:r>
              <w:rPr>
                <w:rFonts w:ascii="宋体" w:hAnsi="宋体" w:eastAsia="宋体" w:cs="宋体"/>
                <w:sz w:val="21"/>
                <w:szCs w:val="21"/>
              </w:rPr>
              <w:t>3</w:t>
            </w:r>
          </w:p>
        </w:tc>
        <w:tc>
          <w:tcPr>
            <w:tcW w:w="1507" w:type="dxa"/>
            <w:vAlign w:val="center"/>
          </w:tcPr>
          <w:p>
            <w:pPr>
              <w:jc w:val="center"/>
              <w:rPr>
                <w:rFonts w:hint="eastAsia" w:cs="Times New Roman" w:asciiTheme="minorEastAsia" w:hAnsiTheme="minorEastAsia" w:eastAsiaTheme="minorEastAsia"/>
                <w:lang w:val="en-US" w:eastAsia="zh-CN"/>
              </w:rPr>
            </w:pPr>
            <w:r>
              <w:rPr>
                <w:rFonts w:hint="eastAsia" w:cs="Times New Roman" w:asciiTheme="minorEastAsia" w:hAnsiTheme="minorEastAsia" w:eastAsiaTheme="minorEastAsia"/>
                <w:lang w:val="en-US" w:eastAsia="zh-CN"/>
              </w:rPr>
              <w:t>丁文娇</w:t>
            </w:r>
          </w:p>
        </w:tc>
        <w:tc>
          <w:tcPr>
            <w:tcW w:w="2166" w:type="dxa"/>
            <w:vAlign w:val="center"/>
          </w:tcPr>
          <w:p>
            <w:pPr>
              <w:jc w:val="center"/>
              <w:rPr>
                <w:rFonts w:ascii="宋体" w:hAnsi="宋体" w:eastAsia="宋体" w:cs="宋体"/>
                <w:sz w:val="21"/>
                <w:szCs w:val="21"/>
              </w:rPr>
            </w:pPr>
            <w:r>
              <w:rPr>
                <w:rFonts w:hint="eastAsia" w:cs="Times New Roman" w:asciiTheme="minorEastAsia" w:hAnsiTheme="minorEastAsia" w:eastAsiaTheme="minorEastAsia"/>
                <w:lang w:val="en-US" w:eastAsia="zh-CN"/>
              </w:rPr>
              <w:t>经济师</w:t>
            </w:r>
          </w:p>
        </w:tc>
        <w:tc>
          <w:tcPr>
            <w:tcW w:w="3289" w:type="dxa"/>
            <w:vAlign w:val="center"/>
          </w:tcPr>
          <w:p>
            <w:pPr>
              <w:jc w:val="center"/>
              <w:rPr>
                <w:rFonts w:ascii="宋体" w:hAnsi="宋体" w:eastAsia="宋体" w:cs="宋体"/>
                <w:sz w:val="21"/>
                <w:szCs w:val="21"/>
              </w:rPr>
            </w:pPr>
            <w:r>
              <w:rPr>
                <w:rFonts w:asciiTheme="minorEastAsia" w:hAnsiTheme="minorEastAsia" w:eastAsiaTheme="minorEastAsia"/>
              </w:rPr>
              <w:t>昆明电力交易中心有限责任公司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trPr>
        <w:tc>
          <w:tcPr>
            <w:tcW w:w="1408" w:type="dxa"/>
            <w:vAlign w:val="center"/>
          </w:tcPr>
          <w:p>
            <w:pPr>
              <w:spacing w:before="273" w:line="185" w:lineRule="auto"/>
              <w:ind w:left="115"/>
              <w:jc w:val="center"/>
              <w:rPr>
                <w:rFonts w:ascii="宋体" w:hAnsi="宋体" w:eastAsia="宋体" w:cs="宋体"/>
                <w:sz w:val="21"/>
                <w:szCs w:val="21"/>
              </w:rPr>
            </w:pPr>
            <w:r>
              <w:rPr>
                <w:rFonts w:ascii="宋体" w:hAnsi="宋体" w:eastAsia="宋体" w:cs="宋体"/>
                <w:sz w:val="21"/>
                <w:szCs w:val="21"/>
              </w:rPr>
              <w:t>4</w:t>
            </w:r>
          </w:p>
        </w:tc>
        <w:tc>
          <w:tcPr>
            <w:tcW w:w="1507" w:type="dxa"/>
            <w:vAlign w:val="center"/>
          </w:tcPr>
          <w:p>
            <w:pPr>
              <w:jc w:val="center"/>
              <w:rPr>
                <w:rFonts w:hint="eastAsia" w:cs="Times New Roman" w:asciiTheme="minorEastAsia" w:hAnsiTheme="minorEastAsia" w:eastAsiaTheme="minorEastAsia"/>
                <w:lang w:val="en-US" w:eastAsia="zh-CN"/>
              </w:rPr>
            </w:pPr>
            <w:r>
              <w:rPr>
                <w:rFonts w:hint="eastAsia" w:cs="Times New Roman" w:asciiTheme="minorEastAsia" w:hAnsiTheme="minorEastAsia" w:eastAsiaTheme="minorEastAsia"/>
                <w:lang w:val="en-US" w:eastAsia="zh-CN"/>
              </w:rPr>
              <w:t>周  娜</w:t>
            </w:r>
          </w:p>
        </w:tc>
        <w:tc>
          <w:tcPr>
            <w:tcW w:w="2166" w:type="dxa"/>
            <w:vAlign w:val="center"/>
          </w:tcPr>
          <w:p>
            <w:pPr>
              <w:jc w:val="center"/>
              <w:rPr>
                <w:rFonts w:ascii="宋体" w:hAnsi="宋体" w:eastAsia="宋体" w:cs="宋体"/>
                <w:sz w:val="21"/>
                <w:szCs w:val="21"/>
              </w:rPr>
            </w:pPr>
            <w:r>
              <w:rPr>
                <w:rFonts w:hint="eastAsia" w:cs="Times New Roman" w:asciiTheme="minorEastAsia" w:hAnsiTheme="minorEastAsia" w:eastAsiaTheme="minorEastAsia"/>
                <w:lang w:val="en-US" w:eastAsia="zh-CN"/>
              </w:rPr>
              <w:t>高级工程师</w:t>
            </w:r>
          </w:p>
        </w:tc>
        <w:tc>
          <w:tcPr>
            <w:tcW w:w="3289" w:type="dxa"/>
            <w:vAlign w:val="center"/>
          </w:tcPr>
          <w:p>
            <w:pPr>
              <w:jc w:val="center"/>
              <w:rPr>
                <w:rFonts w:ascii="宋体" w:hAnsi="宋体" w:eastAsia="宋体" w:cs="宋体"/>
                <w:sz w:val="21"/>
                <w:szCs w:val="21"/>
              </w:rPr>
            </w:pPr>
            <w:r>
              <w:rPr>
                <w:rFonts w:asciiTheme="minorEastAsia" w:hAnsiTheme="minorEastAsia" w:eastAsiaTheme="minorEastAsia"/>
              </w:rPr>
              <w:t>昆明电力交易中心有限责任公司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6" w:hRule="atLeast"/>
        </w:trPr>
        <w:tc>
          <w:tcPr>
            <w:tcW w:w="1408" w:type="dxa"/>
            <w:vAlign w:val="center"/>
          </w:tcPr>
          <w:p>
            <w:pPr>
              <w:spacing w:before="275" w:line="182" w:lineRule="auto"/>
              <w:ind w:left="120"/>
              <w:jc w:val="center"/>
              <w:rPr>
                <w:rFonts w:ascii="宋体" w:hAnsi="宋体" w:eastAsia="宋体" w:cs="宋体"/>
                <w:sz w:val="21"/>
                <w:szCs w:val="21"/>
              </w:rPr>
            </w:pPr>
            <w:r>
              <w:rPr>
                <w:rFonts w:ascii="宋体" w:hAnsi="宋体" w:eastAsia="宋体" w:cs="宋体"/>
                <w:sz w:val="21"/>
                <w:szCs w:val="21"/>
              </w:rPr>
              <w:t>5</w:t>
            </w:r>
          </w:p>
        </w:tc>
        <w:tc>
          <w:tcPr>
            <w:tcW w:w="1507" w:type="dxa"/>
            <w:vAlign w:val="center"/>
          </w:tcPr>
          <w:p>
            <w:pPr>
              <w:jc w:val="center"/>
              <w:rPr>
                <w:rFonts w:hint="eastAsia" w:cs="Times New Roman" w:asciiTheme="minorEastAsia" w:hAnsiTheme="minorEastAsia" w:eastAsiaTheme="minorEastAsia"/>
                <w:lang w:val="en-US" w:eastAsia="zh-CN"/>
              </w:rPr>
            </w:pPr>
            <w:r>
              <w:rPr>
                <w:rFonts w:hint="eastAsia" w:cs="Times New Roman" w:asciiTheme="minorEastAsia" w:hAnsiTheme="minorEastAsia" w:eastAsiaTheme="minorEastAsia"/>
                <w:lang w:val="en-US" w:eastAsia="zh-CN"/>
              </w:rPr>
              <w:t>陈冰霓</w:t>
            </w:r>
          </w:p>
        </w:tc>
        <w:tc>
          <w:tcPr>
            <w:tcW w:w="2166" w:type="dxa"/>
            <w:vAlign w:val="center"/>
          </w:tcPr>
          <w:p>
            <w:pPr>
              <w:jc w:val="center"/>
              <w:rPr>
                <w:rFonts w:ascii="宋体" w:hAnsi="宋体" w:eastAsia="宋体" w:cs="宋体"/>
                <w:sz w:val="21"/>
                <w:szCs w:val="21"/>
              </w:rPr>
            </w:pPr>
            <w:r>
              <w:rPr>
                <w:rFonts w:hint="eastAsia" w:cs="Times New Roman" w:asciiTheme="minorEastAsia" w:hAnsiTheme="minorEastAsia" w:eastAsiaTheme="minorEastAsia"/>
              </w:rPr>
              <w:t>项目经理</w:t>
            </w:r>
          </w:p>
        </w:tc>
        <w:tc>
          <w:tcPr>
            <w:tcW w:w="3289" w:type="dxa"/>
            <w:vAlign w:val="center"/>
          </w:tcPr>
          <w:p>
            <w:pPr>
              <w:jc w:val="center"/>
              <w:rPr>
                <w:rFonts w:ascii="宋体" w:hAnsi="宋体" w:eastAsia="宋体" w:cs="宋体"/>
                <w:sz w:val="21"/>
                <w:szCs w:val="21"/>
              </w:rPr>
            </w:pPr>
            <w:r>
              <w:rPr>
                <w:rFonts w:asciiTheme="minorEastAsia" w:hAnsiTheme="minorEastAsia" w:eastAsiaTheme="minorEastAsia"/>
              </w:rPr>
              <w:t>浙江网新恒天软件有限公司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6" w:hRule="atLeast"/>
        </w:trPr>
        <w:tc>
          <w:tcPr>
            <w:tcW w:w="1408" w:type="dxa"/>
            <w:vAlign w:val="center"/>
          </w:tcPr>
          <w:p>
            <w:pPr>
              <w:spacing w:before="183" w:line="183" w:lineRule="auto"/>
              <w:ind w:left="117"/>
              <w:jc w:val="center"/>
              <w:rPr>
                <w:rFonts w:ascii="宋体" w:hAnsi="宋体" w:eastAsia="宋体" w:cs="宋体"/>
                <w:sz w:val="21"/>
                <w:szCs w:val="21"/>
              </w:rPr>
            </w:pPr>
            <w:r>
              <w:rPr>
                <w:rFonts w:ascii="宋体" w:hAnsi="宋体" w:eastAsia="宋体" w:cs="宋体"/>
                <w:sz w:val="21"/>
                <w:szCs w:val="21"/>
              </w:rPr>
              <w:t>6</w:t>
            </w:r>
          </w:p>
        </w:tc>
        <w:tc>
          <w:tcPr>
            <w:tcW w:w="1507" w:type="dxa"/>
            <w:vAlign w:val="center"/>
          </w:tcPr>
          <w:p>
            <w:pPr>
              <w:jc w:val="center"/>
              <w:rPr>
                <w:rFonts w:hint="eastAsia" w:cs="Times New Roman" w:asciiTheme="minorEastAsia" w:hAnsiTheme="minorEastAsia" w:eastAsiaTheme="minorEastAsia"/>
                <w:lang w:val="en-US" w:eastAsia="zh-CN"/>
              </w:rPr>
            </w:pPr>
            <w:r>
              <w:rPr>
                <w:rFonts w:hint="eastAsia" w:cs="Times New Roman" w:asciiTheme="minorEastAsia" w:hAnsiTheme="minorEastAsia" w:eastAsiaTheme="minorEastAsia"/>
                <w:lang w:val="en-US" w:eastAsia="zh-CN"/>
              </w:rPr>
              <w:t>应黎明</w:t>
            </w:r>
          </w:p>
        </w:tc>
        <w:tc>
          <w:tcPr>
            <w:tcW w:w="2166" w:type="dxa"/>
            <w:vAlign w:val="center"/>
          </w:tcPr>
          <w:p>
            <w:pPr>
              <w:jc w:val="center"/>
              <w:rPr>
                <w:rFonts w:ascii="宋体" w:hAnsi="宋体" w:eastAsia="宋体" w:cs="宋体"/>
                <w:sz w:val="21"/>
                <w:szCs w:val="21"/>
              </w:rPr>
            </w:pPr>
            <w:r>
              <w:rPr>
                <w:rFonts w:hint="eastAsia" w:cs="Times New Roman" w:asciiTheme="minorEastAsia" w:hAnsiTheme="minorEastAsia" w:eastAsiaTheme="minorEastAsia"/>
              </w:rPr>
              <w:t>教授</w:t>
            </w:r>
          </w:p>
        </w:tc>
        <w:tc>
          <w:tcPr>
            <w:tcW w:w="3289" w:type="dxa"/>
            <w:vAlign w:val="center"/>
          </w:tcPr>
          <w:p>
            <w:pPr>
              <w:jc w:val="center"/>
              <w:rPr>
                <w:rFonts w:ascii="宋体" w:hAnsi="宋体" w:eastAsia="宋体" w:cs="宋体"/>
                <w:sz w:val="21"/>
                <w:szCs w:val="21"/>
              </w:rPr>
            </w:pPr>
            <w:r>
              <w:rPr>
                <w:rFonts w:asciiTheme="minorEastAsia" w:hAnsiTheme="minorEastAsia" w:eastAsiaTheme="minorEastAsia"/>
              </w:rPr>
              <w:t>武汉大学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1408" w:type="dxa"/>
            <w:vAlign w:val="center"/>
          </w:tcPr>
          <w:p>
            <w:pPr>
              <w:spacing w:before="188" w:line="182" w:lineRule="auto"/>
              <w:ind w:left="121"/>
              <w:jc w:val="center"/>
              <w:rPr>
                <w:rFonts w:ascii="宋体" w:hAnsi="宋体" w:eastAsia="宋体" w:cs="宋体"/>
                <w:sz w:val="21"/>
                <w:szCs w:val="21"/>
              </w:rPr>
            </w:pPr>
            <w:r>
              <w:rPr>
                <w:rFonts w:ascii="宋体" w:hAnsi="宋体" w:eastAsia="宋体" w:cs="宋体"/>
                <w:sz w:val="21"/>
                <w:szCs w:val="21"/>
              </w:rPr>
              <w:t>7</w:t>
            </w:r>
          </w:p>
        </w:tc>
        <w:tc>
          <w:tcPr>
            <w:tcW w:w="1507" w:type="dxa"/>
            <w:vAlign w:val="center"/>
          </w:tcPr>
          <w:p>
            <w:pPr>
              <w:jc w:val="center"/>
              <w:rPr>
                <w:rFonts w:hint="eastAsia" w:cs="Times New Roman" w:asciiTheme="minorEastAsia" w:hAnsiTheme="minorEastAsia" w:eastAsiaTheme="minorEastAsia"/>
                <w:lang w:val="en-US" w:eastAsia="zh-CN"/>
              </w:rPr>
            </w:pPr>
            <w:r>
              <w:rPr>
                <w:rFonts w:hint="eastAsia" w:cs="Times New Roman" w:asciiTheme="minorEastAsia" w:hAnsiTheme="minorEastAsia" w:eastAsiaTheme="minorEastAsia"/>
                <w:lang w:val="en-US" w:eastAsia="zh-CN"/>
              </w:rPr>
              <w:t>杨  强</w:t>
            </w:r>
          </w:p>
        </w:tc>
        <w:tc>
          <w:tcPr>
            <w:tcW w:w="2166" w:type="dxa"/>
            <w:vAlign w:val="center"/>
          </w:tcPr>
          <w:p>
            <w:pPr>
              <w:jc w:val="center"/>
              <w:rPr>
                <w:rFonts w:ascii="宋体" w:hAnsi="宋体" w:eastAsia="宋体" w:cs="宋体"/>
                <w:sz w:val="21"/>
                <w:szCs w:val="21"/>
              </w:rPr>
            </w:pPr>
            <w:r>
              <w:rPr>
                <w:rFonts w:hint="eastAsia" w:cs="Times New Roman" w:asciiTheme="minorEastAsia" w:hAnsiTheme="minorEastAsia" w:eastAsiaTheme="minorEastAsia"/>
                <w:lang w:val="en-US" w:eastAsia="zh-CN"/>
              </w:rPr>
              <w:t>教授级高工</w:t>
            </w:r>
          </w:p>
        </w:tc>
        <w:tc>
          <w:tcPr>
            <w:tcW w:w="3289" w:type="dxa"/>
            <w:vAlign w:val="center"/>
          </w:tcPr>
          <w:p>
            <w:pPr>
              <w:jc w:val="center"/>
              <w:rPr>
                <w:rFonts w:ascii="宋体" w:hAnsi="宋体" w:eastAsia="宋体" w:cs="宋体"/>
                <w:sz w:val="21"/>
                <w:szCs w:val="21"/>
              </w:rPr>
            </w:pPr>
            <w:r>
              <w:rPr>
                <w:rFonts w:asciiTheme="minorEastAsia" w:hAnsiTheme="minorEastAsia" w:eastAsiaTheme="minorEastAsia"/>
              </w:rPr>
              <w:t>昆明电力交易中心有限责任公司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6" w:hRule="atLeast"/>
        </w:trPr>
        <w:tc>
          <w:tcPr>
            <w:tcW w:w="1408" w:type="dxa"/>
            <w:vAlign w:val="center"/>
          </w:tcPr>
          <w:p>
            <w:pPr>
              <w:spacing w:before="184" w:line="183" w:lineRule="auto"/>
              <w:ind w:left="116"/>
              <w:jc w:val="center"/>
              <w:rPr>
                <w:rFonts w:ascii="宋体" w:hAnsi="宋体" w:eastAsia="宋体" w:cs="宋体"/>
                <w:sz w:val="21"/>
                <w:szCs w:val="21"/>
              </w:rPr>
            </w:pPr>
            <w:r>
              <w:rPr>
                <w:rFonts w:ascii="宋体" w:hAnsi="宋体" w:eastAsia="宋体" w:cs="宋体"/>
                <w:sz w:val="21"/>
                <w:szCs w:val="21"/>
              </w:rPr>
              <w:t>8</w:t>
            </w:r>
          </w:p>
        </w:tc>
        <w:tc>
          <w:tcPr>
            <w:tcW w:w="1507" w:type="dxa"/>
            <w:vAlign w:val="center"/>
          </w:tcPr>
          <w:p>
            <w:pPr>
              <w:jc w:val="center"/>
              <w:rPr>
                <w:rFonts w:hint="eastAsia" w:cs="Times New Roman" w:asciiTheme="minorEastAsia" w:hAnsiTheme="minorEastAsia" w:eastAsiaTheme="minorEastAsia"/>
                <w:lang w:val="en-US" w:eastAsia="zh-CN"/>
              </w:rPr>
            </w:pPr>
            <w:r>
              <w:rPr>
                <w:rFonts w:hint="eastAsia" w:cs="Times New Roman" w:asciiTheme="minorEastAsia" w:hAnsiTheme="minorEastAsia" w:eastAsiaTheme="minorEastAsia"/>
                <w:lang w:val="en-US" w:eastAsia="zh-CN"/>
              </w:rPr>
              <w:t>蔡华祥</w:t>
            </w:r>
          </w:p>
        </w:tc>
        <w:tc>
          <w:tcPr>
            <w:tcW w:w="2166" w:type="dxa"/>
            <w:vAlign w:val="center"/>
          </w:tcPr>
          <w:p>
            <w:pPr>
              <w:jc w:val="center"/>
              <w:rPr>
                <w:rFonts w:ascii="宋体" w:hAnsi="宋体" w:eastAsia="宋体" w:cs="宋体"/>
                <w:sz w:val="21"/>
                <w:szCs w:val="21"/>
              </w:rPr>
            </w:pPr>
            <w:r>
              <w:rPr>
                <w:rFonts w:hint="eastAsia" w:cs="Times New Roman" w:asciiTheme="minorEastAsia" w:hAnsiTheme="minorEastAsia" w:eastAsiaTheme="minorEastAsia"/>
                <w:lang w:val="en-US" w:eastAsia="zh-CN"/>
              </w:rPr>
              <w:t>正高级工程师</w:t>
            </w:r>
          </w:p>
        </w:tc>
        <w:tc>
          <w:tcPr>
            <w:tcW w:w="3289" w:type="dxa"/>
            <w:vAlign w:val="center"/>
          </w:tcPr>
          <w:p>
            <w:pPr>
              <w:jc w:val="center"/>
              <w:rPr>
                <w:rFonts w:ascii="宋体" w:hAnsi="宋体" w:eastAsia="宋体" w:cs="宋体"/>
                <w:sz w:val="21"/>
                <w:szCs w:val="21"/>
              </w:rPr>
            </w:pPr>
            <w:r>
              <w:rPr>
                <w:rFonts w:asciiTheme="minorEastAsia" w:hAnsiTheme="minorEastAsia" w:eastAsiaTheme="minorEastAsia"/>
              </w:rPr>
              <w:t>昆明电力交易中心有限责任公司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1408" w:type="dxa"/>
            <w:vAlign w:val="center"/>
          </w:tcPr>
          <w:p>
            <w:pPr>
              <w:spacing w:before="187" w:line="183" w:lineRule="auto"/>
              <w:ind w:left="116"/>
              <w:jc w:val="center"/>
              <w:rPr>
                <w:rFonts w:ascii="宋体" w:hAnsi="宋体" w:eastAsia="宋体" w:cs="宋体"/>
                <w:sz w:val="21"/>
                <w:szCs w:val="21"/>
              </w:rPr>
            </w:pPr>
            <w:r>
              <w:rPr>
                <w:rFonts w:ascii="宋体" w:hAnsi="宋体" w:eastAsia="宋体" w:cs="宋体"/>
                <w:sz w:val="21"/>
                <w:szCs w:val="21"/>
              </w:rPr>
              <w:t>9</w:t>
            </w:r>
          </w:p>
        </w:tc>
        <w:tc>
          <w:tcPr>
            <w:tcW w:w="1507" w:type="dxa"/>
            <w:vAlign w:val="center"/>
          </w:tcPr>
          <w:p>
            <w:pPr>
              <w:jc w:val="center"/>
              <w:rPr>
                <w:rFonts w:hint="eastAsia" w:cs="Times New Roman" w:asciiTheme="minorEastAsia" w:hAnsiTheme="minorEastAsia" w:eastAsiaTheme="minorEastAsia"/>
                <w:lang w:val="en-US" w:eastAsia="zh-CN"/>
              </w:rPr>
            </w:pPr>
            <w:r>
              <w:rPr>
                <w:rFonts w:hint="eastAsia" w:cs="Times New Roman" w:asciiTheme="minorEastAsia" w:hAnsiTheme="minorEastAsia" w:eastAsiaTheme="minorEastAsia"/>
                <w:lang w:val="en-US" w:eastAsia="zh-CN"/>
              </w:rPr>
              <w:t>赵伟华</w:t>
            </w:r>
          </w:p>
        </w:tc>
        <w:tc>
          <w:tcPr>
            <w:tcW w:w="2166" w:type="dxa"/>
            <w:vAlign w:val="center"/>
          </w:tcPr>
          <w:p>
            <w:pPr>
              <w:jc w:val="center"/>
              <w:rPr>
                <w:rFonts w:ascii="宋体" w:hAnsi="宋体" w:eastAsia="宋体" w:cs="宋体"/>
                <w:sz w:val="21"/>
                <w:szCs w:val="21"/>
              </w:rPr>
            </w:pPr>
            <w:r>
              <w:rPr>
                <w:rFonts w:hint="eastAsia" w:cs="Times New Roman" w:asciiTheme="minorEastAsia" w:hAnsiTheme="minorEastAsia" w:eastAsiaTheme="minorEastAsia"/>
                <w:lang w:val="en-US" w:eastAsia="zh-CN"/>
              </w:rPr>
              <w:t>中级工程师</w:t>
            </w:r>
          </w:p>
        </w:tc>
        <w:tc>
          <w:tcPr>
            <w:tcW w:w="3289" w:type="dxa"/>
            <w:vAlign w:val="center"/>
          </w:tcPr>
          <w:p>
            <w:pPr>
              <w:jc w:val="center"/>
              <w:rPr>
                <w:rFonts w:ascii="宋体" w:hAnsi="宋体" w:eastAsia="宋体" w:cs="宋体"/>
                <w:sz w:val="21"/>
                <w:szCs w:val="21"/>
              </w:rPr>
            </w:pPr>
            <w:r>
              <w:rPr>
                <w:rFonts w:asciiTheme="minorEastAsia" w:hAnsiTheme="minorEastAsia" w:eastAsiaTheme="minorEastAsia"/>
              </w:rPr>
              <w:t>昆明电力交易中心有限责任公司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1408" w:type="dxa"/>
            <w:vAlign w:val="center"/>
          </w:tcPr>
          <w:p>
            <w:pPr>
              <w:spacing w:before="186" w:line="184" w:lineRule="auto"/>
              <w:ind w:left="131"/>
              <w:jc w:val="center"/>
              <w:rPr>
                <w:rFonts w:ascii="宋体" w:hAnsi="宋体" w:eastAsia="宋体" w:cs="宋体"/>
                <w:sz w:val="21"/>
                <w:szCs w:val="21"/>
              </w:rPr>
            </w:pPr>
            <w:r>
              <w:rPr>
                <w:rFonts w:ascii="宋体" w:hAnsi="宋体" w:eastAsia="宋体" w:cs="宋体"/>
                <w:spacing w:val="-7"/>
                <w:sz w:val="21"/>
                <w:szCs w:val="21"/>
              </w:rPr>
              <w:t>1</w:t>
            </w:r>
            <w:r>
              <w:rPr>
                <w:rFonts w:ascii="宋体" w:hAnsi="宋体" w:eastAsia="宋体" w:cs="宋体"/>
                <w:spacing w:val="-5"/>
                <w:sz w:val="21"/>
                <w:szCs w:val="21"/>
              </w:rPr>
              <w:t>0</w:t>
            </w:r>
          </w:p>
        </w:tc>
        <w:tc>
          <w:tcPr>
            <w:tcW w:w="1507" w:type="dxa"/>
            <w:vAlign w:val="center"/>
          </w:tcPr>
          <w:p>
            <w:pPr>
              <w:jc w:val="center"/>
              <w:rPr>
                <w:rFonts w:hint="eastAsia" w:cs="Times New Roman" w:asciiTheme="minorEastAsia" w:hAnsiTheme="minorEastAsia" w:eastAsiaTheme="minorEastAsia"/>
                <w:lang w:val="en-US" w:eastAsia="zh-CN"/>
              </w:rPr>
            </w:pPr>
            <w:r>
              <w:rPr>
                <w:rFonts w:hint="eastAsia" w:cs="Times New Roman" w:asciiTheme="minorEastAsia" w:hAnsiTheme="minorEastAsia" w:eastAsiaTheme="minorEastAsia"/>
                <w:lang w:val="en-US" w:eastAsia="zh-CN"/>
              </w:rPr>
              <w:t>杨东源</w:t>
            </w:r>
          </w:p>
        </w:tc>
        <w:tc>
          <w:tcPr>
            <w:tcW w:w="2166" w:type="dxa"/>
            <w:vAlign w:val="center"/>
          </w:tcPr>
          <w:p>
            <w:pPr>
              <w:jc w:val="center"/>
              <w:rPr>
                <w:rFonts w:ascii="宋体" w:hAnsi="宋体" w:eastAsia="宋体" w:cs="宋体"/>
                <w:sz w:val="21"/>
                <w:szCs w:val="21"/>
              </w:rPr>
            </w:pPr>
            <w:r>
              <w:rPr>
                <w:rFonts w:hint="eastAsia" w:cs="Times New Roman" w:asciiTheme="minorEastAsia" w:hAnsiTheme="minorEastAsia" w:eastAsiaTheme="minorEastAsia"/>
                <w:lang w:val="en-US" w:eastAsia="zh-CN"/>
              </w:rPr>
              <w:t>工程师</w:t>
            </w:r>
          </w:p>
        </w:tc>
        <w:tc>
          <w:tcPr>
            <w:tcW w:w="3289" w:type="dxa"/>
            <w:vAlign w:val="center"/>
          </w:tcPr>
          <w:p>
            <w:pPr>
              <w:jc w:val="center"/>
              <w:rPr>
                <w:rFonts w:ascii="宋体" w:hAnsi="宋体" w:eastAsia="宋体" w:cs="宋体"/>
                <w:sz w:val="21"/>
                <w:szCs w:val="21"/>
              </w:rPr>
            </w:pPr>
            <w:r>
              <w:rPr>
                <w:rFonts w:asciiTheme="minorEastAsia" w:hAnsiTheme="minorEastAsia" w:eastAsiaTheme="minorEastAsia"/>
              </w:rPr>
              <w:t>昆明电力交易中心有限责任公司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9" w:hRule="atLeast"/>
        </w:trPr>
        <w:tc>
          <w:tcPr>
            <w:tcW w:w="1408" w:type="dxa"/>
            <w:vAlign w:val="center"/>
          </w:tcPr>
          <w:p>
            <w:pPr>
              <w:spacing w:before="215" w:line="186" w:lineRule="auto"/>
              <w:ind w:left="131"/>
              <w:jc w:val="center"/>
              <w:rPr>
                <w:rFonts w:ascii="宋体" w:hAnsi="宋体" w:eastAsia="宋体" w:cs="宋体"/>
                <w:sz w:val="21"/>
                <w:szCs w:val="21"/>
              </w:rPr>
            </w:pPr>
            <w:r>
              <w:rPr>
                <w:rFonts w:ascii="宋体" w:hAnsi="宋体" w:eastAsia="宋体" w:cs="宋体"/>
                <w:spacing w:val="-7"/>
                <w:sz w:val="21"/>
                <w:szCs w:val="21"/>
              </w:rPr>
              <w:t>1</w:t>
            </w:r>
            <w:r>
              <w:rPr>
                <w:rFonts w:ascii="宋体" w:hAnsi="宋体" w:eastAsia="宋体" w:cs="宋体"/>
                <w:spacing w:val="-5"/>
                <w:sz w:val="21"/>
                <w:szCs w:val="21"/>
              </w:rPr>
              <w:t>1</w:t>
            </w:r>
          </w:p>
        </w:tc>
        <w:tc>
          <w:tcPr>
            <w:tcW w:w="1507" w:type="dxa"/>
            <w:vAlign w:val="center"/>
          </w:tcPr>
          <w:p>
            <w:pPr>
              <w:jc w:val="center"/>
              <w:rPr>
                <w:rFonts w:hint="eastAsia" w:cs="Times New Roman" w:asciiTheme="minorEastAsia" w:hAnsiTheme="minorEastAsia" w:eastAsiaTheme="minorEastAsia"/>
                <w:lang w:val="en-US" w:eastAsia="zh-CN"/>
              </w:rPr>
            </w:pPr>
            <w:r>
              <w:rPr>
                <w:rFonts w:hint="eastAsia" w:cs="Times New Roman" w:asciiTheme="minorEastAsia" w:hAnsiTheme="minorEastAsia" w:eastAsiaTheme="minorEastAsia"/>
                <w:lang w:val="en-US" w:eastAsia="zh-CN"/>
              </w:rPr>
              <w:t>王舒瑾</w:t>
            </w:r>
          </w:p>
        </w:tc>
        <w:tc>
          <w:tcPr>
            <w:tcW w:w="2166" w:type="dxa"/>
            <w:vAlign w:val="center"/>
          </w:tcPr>
          <w:p>
            <w:pPr>
              <w:jc w:val="center"/>
              <w:rPr>
                <w:rFonts w:ascii="宋体" w:hAnsi="宋体" w:eastAsia="宋体" w:cs="宋体"/>
                <w:sz w:val="21"/>
                <w:szCs w:val="21"/>
              </w:rPr>
            </w:pPr>
            <w:r>
              <w:rPr>
                <w:rFonts w:hint="eastAsia" w:cs="Times New Roman" w:asciiTheme="minorEastAsia" w:hAnsiTheme="minorEastAsia" w:eastAsiaTheme="minorEastAsia"/>
                <w:lang w:val="en-US" w:eastAsia="zh-CN"/>
              </w:rPr>
              <w:t>助理工程师</w:t>
            </w:r>
          </w:p>
        </w:tc>
        <w:tc>
          <w:tcPr>
            <w:tcW w:w="3289" w:type="dxa"/>
            <w:vAlign w:val="center"/>
          </w:tcPr>
          <w:p>
            <w:pPr>
              <w:jc w:val="center"/>
              <w:rPr>
                <w:rFonts w:ascii="宋体" w:hAnsi="宋体" w:eastAsia="宋体" w:cs="宋体"/>
                <w:sz w:val="21"/>
                <w:szCs w:val="21"/>
              </w:rPr>
            </w:pPr>
            <w:r>
              <w:rPr>
                <w:rFonts w:asciiTheme="minorEastAsia" w:hAnsiTheme="minorEastAsia" w:eastAsiaTheme="minorEastAsia"/>
              </w:rPr>
              <w:t>昆明电力交易中心有限责任公司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9" w:hRule="atLeast"/>
        </w:trPr>
        <w:tc>
          <w:tcPr>
            <w:tcW w:w="1408" w:type="dxa"/>
            <w:vAlign w:val="center"/>
          </w:tcPr>
          <w:p>
            <w:pPr>
              <w:spacing w:before="217" w:line="186" w:lineRule="auto"/>
              <w:ind w:left="131"/>
              <w:jc w:val="center"/>
              <w:rPr>
                <w:rFonts w:ascii="宋体" w:hAnsi="宋体" w:eastAsia="宋体" w:cs="宋体"/>
                <w:sz w:val="21"/>
                <w:szCs w:val="21"/>
              </w:rPr>
            </w:pPr>
            <w:r>
              <w:rPr>
                <w:rFonts w:ascii="宋体" w:hAnsi="宋体" w:eastAsia="宋体" w:cs="宋体"/>
                <w:spacing w:val="-7"/>
                <w:sz w:val="21"/>
                <w:szCs w:val="21"/>
              </w:rPr>
              <w:t>1</w:t>
            </w:r>
            <w:r>
              <w:rPr>
                <w:rFonts w:ascii="宋体" w:hAnsi="宋体" w:eastAsia="宋体" w:cs="宋体"/>
                <w:spacing w:val="-5"/>
                <w:sz w:val="21"/>
                <w:szCs w:val="21"/>
              </w:rPr>
              <w:t>2</w:t>
            </w:r>
          </w:p>
        </w:tc>
        <w:tc>
          <w:tcPr>
            <w:tcW w:w="1507" w:type="dxa"/>
            <w:vAlign w:val="center"/>
          </w:tcPr>
          <w:p>
            <w:pPr>
              <w:jc w:val="center"/>
              <w:rPr>
                <w:rFonts w:hint="eastAsia" w:cs="Times New Roman" w:asciiTheme="minorEastAsia" w:hAnsiTheme="minorEastAsia" w:eastAsiaTheme="minorEastAsia"/>
                <w:lang w:val="en-US" w:eastAsia="zh-CN"/>
              </w:rPr>
            </w:pPr>
            <w:r>
              <w:rPr>
                <w:rFonts w:hint="eastAsia" w:cs="Times New Roman" w:asciiTheme="minorEastAsia" w:hAnsiTheme="minorEastAsia" w:eastAsiaTheme="minorEastAsia"/>
                <w:lang w:val="en-US" w:eastAsia="zh-CN"/>
              </w:rPr>
              <w:t>黄  琨</w:t>
            </w:r>
          </w:p>
        </w:tc>
        <w:tc>
          <w:tcPr>
            <w:tcW w:w="2166" w:type="dxa"/>
            <w:vAlign w:val="center"/>
          </w:tcPr>
          <w:p>
            <w:pPr>
              <w:jc w:val="center"/>
              <w:rPr>
                <w:rFonts w:ascii="宋体" w:hAnsi="宋体" w:eastAsia="宋体" w:cs="宋体"/>
                <w:sz w:val="21"/>
                <w:szCs w:val="21"/>
              </w:rPr>
            </w:pPr>
            <w:r>
              <w:rPr>
                <w:rFonts w:hint="eastAsia" w:cs="Times New Roman" w:asciiTheme="minorEastAsia" w:hAnsiTheme="minorEastAsia" w:eastAsiaTheme="minorEastAsia"/>
              </w:rPr>
              <w:t>高级工程师</w:t>
            </w:r>
          </w:p>
        </w:tc>
        <w:tc>
          <w:tcPr>
            <w:tcW w:w="3289" w:type="dxa"/>
            <w:vAlign w:val="center"/>
          </w:tcPr>
          <w:p>
            <w:pPr>
              <w:jc w:val="center"/>
              <w:rPr>
                <w:rFonts w:ascii="宋体" w:hAnsi="宋体" w:eastAsia="宋体" w:cs="宋体"/>
                <w:sz w:val="21"/>
                <w:szCs w:val="21"/>
              </w:rPr>
            </w:pPr>
            <w:r>
              <w:rPr>
                <w:rFonts w:asciiTheme="minorEastAsia" w:hAnsiTheme="minorEastAsia" w:eastAsiaTheme="minorEastAsia"/>
              </w:rPr>
              <w:t>浙江网新恒天软件有限公司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408" w:type="dxa"/>
            <w:vAlign w:val="center"/>
          </w:tcPr>
          <w:p>
            <w:pPr>
              <w:spacing w:before="218" w:line="184" w:lineRule="auto"/>
              <w:ind w:left="131"/>
              <w:jc w:val="center"/>
              <w:rPr>
                <w:rFonts w:ascii="宋体" w:hAnsi="宋体" w:eastAsia="宋体" w:cs="宋体"/>
                <w:sz w:val="21"/>
                <w:szCs w:val="21"/>
              </w:rPr>
            </w:pPr>
            <w:r>
              <w:rPr>
                <w:rFonts w:ascii="宋体" w:hAnsi="宋体" w:eastAsia="宋体" w:cs="宋体"/>
                <w:spacing w:val="-7"/>
                <w:sz w:val="21"/>
                <w:szCs w:val="21"/>
              </w:rPr>
              <w:t>1</w:t>
            </w:r>
            <w:r>
              <w:rPr>
                <w:rFonts w:ascii="宋体" w:hAnsi="宋体" w:eastAsia="宋体" w:cs="宋体"/>
                <w:spacing w:val="-5"/>
                <w:sz w:val="21"/>
                <w:szCs w:val="21"/>
              </w:rPr>
              <w:t>3</w:t>
            </w:r>
          </w:p>
        </w:tc>
        <w:tc>
          <w:tcPr>
            <w:tcW w:w="1507" w:type="dxa"/>
            <w:vAlign w:val="center"/>
          </w:tcPr>
          <w:p>
            <w:pPr>
              <w:jc w:val="center"/>
              <w:rPr>
                <w:rFonts w:hint="eastAsia" w:cs="Times New Roman" w:asciiTheme="minorEastAsia" w:hAnsiTheme="minorEastAsia" w:eastAsiaTheme="minorEastAsia"/>
                <w:lang w:val="en-US" w:eastAsia="zh-CN"/>
              </w:rPr>
            </w:pPr>
            <w:r>
              <w:rPr>
                <w:rFonts w:hint="eastAsia" w:cs="Times New Roman" w:asciiTheme="minorEastAsia" w:hAnsiTheme="minorEastAsia" w:eastAsiaTheme="minorEastAsia"/>
                <w:lang w:val="en-US" w:eastAsia="zh-CN"/>
              </w:rPr>
              <w:t>王熙凯</w:t>
            </w:r>
          </w:p>
        </w:tc>
        <w:tc>
          <w:tcPr>
            <w:tcW w:w="2166" w:type="dxa"/>
            <w:vAlign w:val="center"/>
          </w:tcPr>
          <w:p>
            <w:pPr>
              <w:jc w:val="center"/>
              <w:rPr>
                <w:rFonts w:ascii="宋体" w:hAnsi="宋体" w:eastAsia="宋体" w:cs="宋体"/>
                <w:sz w:val="21"/>
                <w:szCs w:val="21"/>
              </w:rPr>
            </w:pPr>
            <w:r>
              <w:rPr>
                <w:rFonts w:hint="eastAsia" w:cs="Times New Roman" w:asciiTheme="minorEastAsia" w:hAnsiTheme="minorEastAsia" w:eastAsiaTheme="minorEastAsia"/>
                <w:lang w:val="en-US" w:eastAsia="zh-CN"/>
              </w:rPr>
              <w:t>助理工程师</w:t>
            </w:r>
          </w:p>
        </w:tc>
        <w:tc>
          <w:tcPr>
            <w:tcW w:w="3289" w:type="dxa"/>
            <w:vAlign w:val="center"/>
          </w:tcPr>
          <w:p>
            <w:pPr>
              <w:jc w:val="center"/>
              <w:rPr>
                <w:rFonts w:ascii="宋体" w:hAnsi="宋体" w:eastAsia="宋体" w:cs="宋体"/>
                <w:sz w:val="21"/>
                <w:szCs w:val="21"/>
              </w:rPr>
            </w:pPr>
            <w:r>
              <w:rPr>
                <w:rFonts w:asciiTheme="minorEastAsia" w:hAnsiTheme="minorEastAsia" w:eastAsiaTheme="minorEastAsia"/>
              </w:rPr>
              <w:t>昆明电力交易中心有限责任公司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9" w:hRule="atLeast"/>
        </w:trPr>
        <w:tc>
          <w:tcPr>
            <w:tcW w:w="1408" w:type="dxa"/>
            <w:vAlign w:val="center"/>
          </w:tcPr>
          <w:p>
            <w:pPr>
              <w:spacing w:before="215" w:line="186" w:lineRule="auto"/>
              <w:ind w:left="131"/>
              <w:jc w:val="center"/>
              <w:rPr>
                <w:rFonts w:ascii="宋体" w:hAnsi="宋体" w:eastAsia="宋体" w:cs="宋体"/>
                <w:sz w:val="21"/>
                <w:szCs w:val="21"/>
              </w:rPr>
            </w:pPr>
            <w:r>
              <w:rPr>
                <w:rFonts w:ascii="宋体" w:hAnsi="宋体" w:eastAsia="宋体" w:cs="宋体"/>
                <w:spacing w:val="-7"/>
                <w:sz w:val="21"/>
                <w:szCs w:val="21"/>
              </w:rPr>
              <w:t>1</w:t>
            </w:r>
            <w:r>
              <w:rPr>
                <w:rFonts w:ascii="宋体" w:hAnsi="宋体" w:eastAsia="宋体" w:cs="宋体"/>
                <w:spacing w:val="-5"/>
                <w:sz w:val="21"/>
                <w:szCs w:val="21"/>
              </w:rPr>
              <w:t>4</w:t>
            </w:r>
          </w:p>
        </w:tc>
        <w:tc>
          <w:tcPr>
            <w:tcW w:w="1507" w:type="dxa"/>
            <w:vAlign w:val="center"/>
          </w:tcPr>
          <w:p>
            <w:pPr>
              <w:jc w:val="center"/>
              <w:rPr>
                <w:rFonts w:hint="eastAsia" w:cs="Times New Roman" w:asciiTheme="minorEastAsia" w:hAnsiTheme="minorEastAsia" w:eastAsiaTheme="minorEastAsia"/>
                <w:lang w:val="en-US" w:eastAsia="zh-CN"/>
              </w:rPr>
            </w:pPr>
            <w:r>
              <w:rPr>
                <w:rFonts w:hint="eastAsia" w:cs="Times New Roman" w:asciiTheme="minorEastAsia" w:hAnsiTheme="minorEastAsia" w:eastAsiaTheme="minorEastAsia"/>
                <w:lang w:val="en-US" w:eastAsia="zh-CN"/>
              </w:rPr>
              <w:t>邢玉辉</w:t>
            </w:r>
          </w:p>
        </w:tc>
        <w:tc>
          <w:tcPr>
            <w:tcW w:w="2166" w:type="dxa"/>
            <w:vAlign w:val="center"/>
          </w:tcPr>
          <w:p>
            <w:pPr>
              <w:jc w:val="center"/>
              <w:rPr>
                <w:rFonts w:ascii="宋体" w:hAnsi="宋体" w:eastAsia="宋体" w:cs="宋体"/>
                <w:sz w:val="16"/>
                <w:szCs w:val="16"/>
              </w:rPr>
            </w:pPr>
            <w:r>
              <w:rPr>
                <w:rFonts w:hint="eastAsia" w:cs="Times New Roman" w:asciiTheme="minorEastAsia" w:hAnsiTheme="minorEastAsia" w:eastAsiaTheme="minorEastAsia"/>
              </w:rPr>
              <w:t>工程师</w:t>
            </w:r>
          </w:p>
        </w:tc>
        <w:tc>
          <w:tcPr>
            <w:tcW w:w="3289" w:type="dxa"/>
            <w:vAlign w:val="center"/>
          </w:tcPr>
          <w:p>
            <w:pPr>
              <w:jc w:val="center"/>
              <w:rPr>
                <w:rFonts w:ascii="宋体" w:hAnsi="宋体" w:eastAsia="宋体" w:cs="宋体"/>
                <w:sz w:val="21"/>
                <w:szCs w:val="21"/>
              </w:rPr>
            </w:pPr>
            <w:r>
              <w:rPr>
                <w:rFonts w:asciiTheme="minorEastAsia" w:hAnsiTheme="minorEastAsia" w:eastAsiaTheme="minorEastAsia"/>
              </w:rPr>
              <w:t>昆明电力交易中心有限责任公司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1408" w:type="dxa"/>
            <w:vAlign w:val="center"/>
          </w:tcPr>
          <w:p>
            <w:pPr>
              <w:spacing w:before="218" w:line="184" w:lineRule="auto"/>
              <w:ind w:left="131"/>
              <w:jc w:val="center"/>
              <w:rPr>
                <w:rFonts w:ascii="宋体" w:hAnsi="宋体" w:eastAsia="宋体" w:cs="宋体"/>
                <w:sz w:val="21"/>
                <w:szCs w:val="21"/>
              </w:rPr>
            </w:pPr>
            <w:r>
              <w:rPr>
                <w:rFonts w:ascii="宋体" w:hAnsi="宋体" w:eastAsia="宋体" w:cs="宋体"/>
                <w:spacing w:val="-7"/>
                <w:sz w:val="21"/>
                <w:szCs w:val="21"/>
              </w:rPr>
              <w:t>1</w:t>
            </w:r>
            <w:r>
              <w:rPr>
                <w:rFonts w:ascii="宋体" w:hAnsi="宋体" w:eastAsia="宋体" w:cs="宋体"/>
                <w:spacing w:val="-5"/>
                <w:sz w:val="21"/>
                <w:szCs w:val="21"/>
              </w:rPr>
              <w:t>5</w:t>
            </w:r>
          </w:p>
        </w:tc>
        <w:tc>
          <w:tcPr>
            <w:tcW w:w="1507" w:type="dxa"/>
            <w:vAlign w:val="center"/>
          </w:tcPr>
          <w:p>
            <w:pPr>
              <w:jc w:val="center"/>
              <w:rPr>
                <w:rFonts w:hint="eastAsia" w:cs="Times New Roman" w:asciiTheme="minorEastAsia" w:hAnsiTheme="minorEastAsia" w:eastAsiaTheme="minorEastAsia"/>
                <w:lang w:val="en-US" w:eastAsia="zh-CN"/>
              </w:rPr>
            </w:pPr>
            <w:r>
              <w:rPr>
                <w:rFonts w:hint="eastAsia" w:cs="Times New Roman" w:asciiTheme="minorEastAsia" w:hAnsiTheme="minorEastAsia" w:eastAsiaTheme="minorEastAsia"/>
                <w:lang w:val="en-US" w:eastAsia="zh-CN"/>
              </w:rPr>
              <w:t>孙永军</w:t>
            </w:r>
          </w:p>
        </w:tc>
        <w:tc>
          <w:tcPr>
            <w:tcW w:w="2166" w:type="dxa"/>
            <w:vAlign w:val="center"/>
          </w:tcPr>
          <w:p>
            <w:pPr>
              <w:jc w:val="center"/>
              <w:rPr>
                <w:rFonts w:ascii="宋体" w:hAnsi="宋体" w:eastAsia="宋体" w:cs="宋体"/>
                <w:sz w:val="21"/>
                <w:szCs w:val="21"/>
              </w:rPr>
            </w:pPr>
            <w:r>
              <w:rPr>
                <w:rFonts w:hint="eastAsia" w:cs="Times New Roman" w:asciiTheme="minorEastAsia" w:hAnsiTheme="minorEastAsia" w:eastAsiaTheme="minorEastAsia"/>
                <w:lang w:val="en-US" w:eastAsia="zh-CN"/>
              </w:rPr>
              <w:t>工程师</w:t>
            </w:r>
          </w:p>
        </w:tc>
        <w:tc>
          <w:tcPr>
            <w:tcW w:w="3289" w:type="dxa"/>
            <w:vAlign w:val="center"/>
          </w:tcPr>
          <w:p>
            <w:pPr>
              <w:jc w:val="center"/>
              <w:rPr>
                <w:rFonts w:ascii="宋体" w:hAnsi="宋体" w:eastAsia="宋体" w:cs="宋体"/>
                <w:sz w:val="21"/>
                <w:szCs w:val="21"/>
              </w:rPr>
            </w:pPr>
            <w:r>
              <w:rPr>
                <w:rFonts w:asciiTheme="minorEastAsia" w:hAnsiTheme="minorEastAsia" w:eastAsiaTheme="minorEastAsia"/>
              </w:rPr>
              <w:t>昆明电力交易中心有限责任公司</w:t>
            </w:r>
          </w:p>
        </w:tc>
      </w:tr>
    </w:tbl>
    <w:p>
      <w:pPr>
        <w:sectPr>
          <w:footerReference r:id="rId6" w:type="default"/>
          <w:pgSz w:w="11907" w:h="16839"/>
          <w:pgMar w:top="1431" w:right="1783" w:bottom="1151" w:left="1747" w:header="0" w:footer="986" w:gutter="0"/>
          <w:cols w:space="720" w:num="1"/>
        </w:sectPr>
      </w:pPr>
    </w:p>
    <w:p>
      <w:pPr>
        <w:spacing w:before="91" w:line="219" w:lineRule="auto"/>
        <w:jc w:val="left"/>
        <w:outlineLvl w:val="0"/>
        <w:rPr>
          <w:rFonts w:ascii="宋体" w:hAnsi="宋体" w:eastAsia="宋体" w:cs="宋体"/>
          <w:color w:val="333333"/>
          <w:spacing w:val="-1"/>
          <w:sz w:val="28"/>
          <w:szCs w:val="28"/>
          <w14:textOutline w14:w="5094" w14:cap="flat" w14:cmpd="sng">
            <w14:solidFill>
              <w14:srgbClr w14:val="333333"/>
            </w14:solidFill>
            <w14:prstDash w14:val="solid"/>
            <w14:miter w14:val="0"/>
          </w14:textOutline>
        </w:rPr>
      </w:pPr>
      <w:r>
        <w:rPr>
          <w:rFonts w:hint="eastAsia" w:ascii="宋体" w:hAnsi="宋体" w:eastAsia="宋体" w:cs="宋体"/>
          <w:color w:val="333333"/>
          <w:spacing w:val="-1"/>
          <w:sz w:val="28"/>
          <w:szCs w:val="28"/>
          <w:lang w:val="en-US" w:eastAsia="zh-CN"/>
          <w14:textOutline w14:w="5094" w14:cap="flat" w14:cmpd="sng">
            <w14:solidFill>
              <w14:srgbClr w14:val="333333"/>
            </w14:solidFill>
            <w14:prstDash w14:val="solid"/>
            <w14:miter w14:val="0"/>
          </w14:textOutline>
        </w:rPr>
        <w:t>五</w:t>
      </w:r>
      <w:r>
        <w:rPr>
          <w:rFonts w:ascii="宋体" w:hAnsi="宋体" w:eastAsia="宋体" w:cs="宋体"/>
          <w:color w:val="333333"/>
          <w:spacing w:val="-1"/>
          <w:sz w:val="28"/>
          <w:szCs w:val="28"/>
          <w14:textOutline w14:w="5094" w14:cap="flat" w14:cmpd="sng">
            <w14:solidFill>
              <w14:srgbClr w14:val="333333"/>
            </w14:solidFill>
            <w14:prstDash w14:val="solid"/>
            <w14:miter w14:val="0"/>
          </w14:textOutline>
        </w:rPr>
        <w:t>、 主要完成</w:t>
      </w:r>
      <w:r>
        <w:rPr>
          <w:rFonts w:hint="eastAsia" w:ascii="宋体" w:hAnsi="宋体" w:eastAsia="宋体" w:cs="宋体"/>
          <w:color w:val="333333"/>
          <w:spacing w:val="-1"/>
          <w:sz w:val="28"/>
          <w:szCs w:val="28"/>
          <w:lang w:val="en-US" w:eastAsia="zh-CN"/>
          <w14:textOutline w14:w="5094" w14:cap="flat" w14:cmpd="sng">
            <w14:solidFill>
              <w14:srgbClr w14:val="333333"/>
            </w14:solidFill>
            <w14:prstDash w14:val="solid"/>
            <w14:miter w14:val="0"/>
          </w14:textOutline>
        </w:rPr>
        <w:t>单位</w:t>
      </w:r>
      <w:r>
        <w:rPr>
          <w:rFonts w:hint="eastAsia" w:ascii="宋体" w:hAnsi="宋体" w:eastAsia="宋体" w:cs="宋体"/>
          <w:color w:val="333333"/>
          <w:spacing w:val="-1"/>
          <w:sz w:val="28"/>
          <w:szCs w:val="28"/>
          <w14:textOutline w14:w="5094" w14:cap="flat" w14:cmpd="sng">
            <w14:solidFill>
              <w14:srgbClr w14:val="333333"/>
            </w14:solidFill>
            <w14:prstDash w14:val="solid"/>
            <w14:miter w14:val="0"/>
          </w14:textOutline>
        </w:rPr>
        <w:t>对项目科技创新贡献</w:t>
      </w:r>
    </w:p>
    <w:p>
      <w:pPr>
        <w:spacing w:before="28"/>
        <w:ind w:right="113" w:firstLine="576" w:firstLineChars="200"/>
        <w:rPr>
          <w:rFonts w:hint="eastAsia" w:ascii="仿宋" w:hAnsi="仿宋" w:eastAsia="仿宋" w:cs="仿宋"/>
          <w:spacing w:val="-3"/>
          <w:sz w:val="30"/>
          <w:szCs w:val="30"/>
          <w:lang w:val="en-US" w:eastAsia="zh-CN"/>
        </w:rPr>
      </w:pPr>
      <w:r>
        <w:rPr>
          <w:rFonts w:hint="eastAsia" w:ascii="仿宋" w:hAnsi="仿宋" w:eastAsia="仿宋" w:cs="仿宋"/>
          <w:spacing w:val="-6"/>
          <w:sz w:val="30"/>
          <w:szCs w:val="30"/>
          <w:lang w:val="en-US" w:eastAsia="zh-CN"/>
          <w14:textOutline w14:w="4354" w14:cap="flat" w14:cmpd="sng">
            <w14:solidFill>
              <w14:srgbClr w14:val="000000"/>
            </w14:solidFill>
            <w14:prstDash w14:val="solid"/>
            <w14:miter w14:val="0"/>
          </w14:textOutline>
        </w:rPr>
        <w:t>完成单位1：</w:t>
      </w:r>
      <w:r>
        <w:rPr>
          <w:rFonts w:hint="eastAsia" w:ascii="仿宋" w:hAnsi="仿宋" w:eastAsia="仿宋" w:cs="仿宋"/>
          <w:spacing w:val="-3"/>
          <w:sz w:val="30"/>
          <w:szCs w:val="30"/>
          <w:lang w:val="en-US" w:eastAsia="zh-CN"/>
        </w:rPr>
        <w:t>昆明电力交易中心有限责任公司</w:t>
      </w:r>
    </w:p>
    <w:p>
      <w:pPr>
        <w:spacing w:before="28"/>
        <w:ind w:right="113" w:firstLine="588" w:firstLineChars="200"/>
        <w:rPr>
          <w:rFonts w:hint="eastAsia" w:ascii="仿宋" w:hAnsi="仿宋" w:eastAsia="仿宋" w:cs="仿宋"/>
          <w:spacing w:val="-3"/>
          <w:sz w:val="30"/>
          <w:szCs w:val="30"/>
          <w:lang w:val="en-US" w:eastAsia="zh-CN"/>
        </w:rPr>
      </w:pPr>
      <w:r>
        <w:rPr>
          <w:rFonts w:hint="eastAsia" w:ascii="仿宋" w:hAnsi="仿宋" w:eastAsia="仿宋" w:cs="仿宋"/>
          <w:spacing w:val="-3"/>
          <w:sz w:val="30"/>
          <w:szCs w:val="30"/>
          <w:lang w:val="en-US" w:eastAsia="zh-CN"/>
        </w:rPr>
        <w:t>作为本成果的牵头单位，根据政策指导精神，结合市场发展和运营实际，分析现有电力零售市场痛点和难点，主导形成本成果技术路线和设计方案，组织各方完成技术攻关规划和后续开发测试和推广工作，创新点的主要完成单位之一。</w:t>
      </w:r>
    </w:p>
    <w:p>
      <w:pPr>
        <w:spacing w:before="28"/>
        <w:ind w:right="113" w:firstLine="576" w:firstLineChars="200"/>
        <w:rPr>
          <w:rFonts w:hint="eastAsia" w:ascii="仿宋" w:hAnsi="仿宋" w:eastAsia="仿宋" w:cs="仿宋"/>
          <w:spacing w:val="-3"/>
          <w:sz w:val="30"/>
          <w:szCs w:val="30"/>
          <w:lang w:val="en-US" w:eastAsia="zh-CN"/>
        </w:rPr>
      </w:pPr>
      <w:r>
        <w:rPr>
          <w:rFonts w:hint="eastAsia" w:ascii="仿宋" w:hAnsi="仿宋" w:eastAsia="仿宋" w:cs="仿宋"/>
          <w:spacing w:val="-6"/>
          <w:sz w:val="30"/>
          <w:szCs w:val="30"/>
          <w:lang w:val="en-US" w:eastAsia="zh-CN"/>
          <w14:textOutline w14:w="4354" w14:cap="flat" w14:cmpd="sng">
            <w14:solidFill>
              <w14:srgbClr w14:val="000000"/>
            </w14:solidFill>
            <w14:prstDash w14:val="solid"/>
            <w14:miter w14:val="0"/>
          </w14:textOutline>
        </w:rPr>
        <w:t>完成单位2：</w:t>
      </w:r>
      <w:r>
        <w:rPr>
          <w:rFonts w:hint="eastAsia" w:ascii="仿宋" w:hAnsi="仿宋" w:eastAsia="仿宋" w:cs="仿宋"/>
          <w:spacing w:val="-3"/>
          <w:sz w:val="30"/>
          <w:szCs w:val="30"/>
          <w:lang w:val="en-US" w:eastAsia="zh-CN"/>
        </w:rPr>
        <w:t>浙江网新恒天软件有限公司</w:t>
      </w:r>
    </w:p>
    <w:p>
      <w:pPr>
        <w:pStyle w:val="2"/>
        <w:ind w:firstLine="588" w:firstLineChars="200"/>
        <w:rPr>
          <w:rFonts w:hint="eastAsia" w:ascii="仿宋" w:hAnsi="仿宋" w:eastAsia="仿宋" w:cs="仿宋"/>
          <w:spacing w:val="-3"/>
          <w:sz w:val="30"/>
          <w:szCs w:val="30"/>
          <w:lang w:val="en-US" w:eastAsia="zh-CN"/>
        </w:rPr>
      </w:pPr>
      <w:r>
        <w:rPr>
          <w:rFonts w:hint="eastAsia" w:ascii="仿宋" w:hAnsi="仿宋" w:eastAsia="仿宋" w:cs="仿宋"/>
          <w:spacing w:val="-3"/>
          <w:sz w:val="30"/>
          <w:szCs w:val="30"/>
          <w:lang w:val="en-US" w:eastAsia="zh-CN"/>
        </w:rPr>
        <w:t>作为本成果的研发单位和技术实施应用单位，承担完成“基于“电子商务+零售套餐”的电力零售交易关键技术研究及应用”的平台研发，配合进行技术指导工作。</w:t>
      </w:r>
    </w:p>
    <w:p>
      <w:pPr>
        <w:spacing w:before="28"/>
        <w:ind w:right="113" w:firstLine="576" w:firstLineChars="200"/>
        <w:rPr>
          <w:rFonts w:hint="eastAsia" w:ascii="仿宋" w:hAnsi="仿宋" w:eastAsia="仿宋" w:cs="仿宋"/>
          <w:spacing w:val="-3"/>
          <w:sz w:val="30"/>
          <w:szCs w:val="30"/>
          <w:lang w:val="en-US" w:eastAsia="zh-CN"/>
        </w:rPr>
      </w:pPr>
      <w:r>
        <w:rPr>
          <w:rFonts w:hint="eastAsia" w:ascii="仿宋" w:hAnsi="仿宋" w:eastAsia="仿宋" w:cs="仿宋"/>
          <w:spacing w:val="-6"/>
          <w:sz w:val="30"/>
          <w:szCs w:val="30"/>
          <w:lang w:val="en-US" w:eastAsia="zh-CN"/>
          <w14:textOutline w14:w="4354" w14:cap="flat" w14:cmpd="sng">
            <w14:solidFill>
              <w14:srgbClr w14:val="000000"/>
            </w14:solidFill>
            <w14:prstDash w14:val="solid"/>
            <w14:miter w14:val="0"/>
          </w14:textOutline>
        </w:rPr>
        <w:t>完成单位3：</w:t>
      </w:r>
      <w:r>
        <w:rPr>
          <w:rFonts w:hint="eastAsia" w:ascii="仿宋" w:hAnsi="仿宋" w:eastAsia="仿宋" w:cs="仿宋"/>
          <w:spacing w:val="-3"/>
          <w:sz w:val="30"/>
          <w:szCs w:val="30"/>
          <w:lang w:val="en-US" w:eastAsia="zh-CN"/>
        </w:rPr>
        <w:t>武汉大学</w:t>
      </w:r>
    </w:p>
    <w:p>
      <w:pPr>
        <w:ind w:firstLine="588" w:firstLineChars="200"/>
        <w:rPr>
          <w:rFonts w:hint="eastAsia" w:ascii="仿宋" w:hAnsi="仿宋" w:eastAsia="仿宋" w:cs="仿宋"/>
          <w:sz w:val="30"/>
          <w:szCs w:val="30"/>
          <w:lang w:val="en-US" w:eastAsia="zh-CN"/>
        </w:rPr>
      </w:pPr>
      <w:r>
        <w:rPr>
          <w:rFonts w:hint="eastAsia" w:ascii="仿宋" w:hAnsi="仿宋" w:eastAsia="仿宋" w:cs="仿宋"/>
          <w:spacing w:val="-3"/>
          <w:sz w:val="30"/>
          <w:szCs w:val="30"/>
          <w:lang w:val="en-US" w:eastAsia="zh-CN"/>
        </w:rPr>
        <w:t>承担和完成本项目的部分课题理论研究内容,总结国内外电力零售市场难点,结合云南电力零售市场发展特色,进行了电子商务理念与电力零售市场两个跨领域融合的理论研究工作。</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0" w:lineRule="auto"/>
      <w:ind w:left="4229"/>
      <w:rPr>
        <w:rFonts w:ascii="Calibri" w:hAnsi="Calibri" w:eastAsia="Calibri" w:cs="Calibri"/>
        <w:sz w:val="18"/>
        <w:szCs w:val="18"/>
      </w:rPr>
    </w:pPr>
    <w:r>
      <w:rPr>
        <w:rFonts w:ascii="Calibri" w:hAnsi="Calibri" w:eastAsia="Calibri" w:cs="Calibri"/>
        <w:sz w:val="18"/>
        <w:szCs w:val="18"/>
      </w:rPr>
      <w:t>3</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8" w:lineRule="auto"/>
      <w:ind w:left="4130"/>
      <w:rPr>
        <w:rFonts w:ascii="Calibri" w:hAnsi="Calibri" w:eastAsia="Calibri" w:cs="Calibri"/>
        <w:sz w:val="18"/>
        <w:szCs w:val="18"/>
      </w:rPr>
    </w:pPr>
    <w:r>
      <w:rPr>
        <w:rFonts w:ascii="Calibri" w:hAnsi="Calibri" w:eastAsia="Calibri" w:cs="Calibri"/>
        <w:sz w:val="18"/>
        <w:szCs w:val="18"/>
      </w:rPr>
      <w:t>5</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0" w:lineRule="auto"/>
      <w:ind w:left="4131"/>
      <w:rPr>
        <w:rFonts w:ascii="Calibri" w:hAnsi="Calibri" w:eastAsia="Calibri" w:cs="Calibri"/>
        <w:sz w:val="18"/>
        <w:szCs w:val="18"/>
      </w:rPr>
    </w:pPr>
    <w:r>
      <w:rPr>
        <w:rFonts w:ascii="Calibri" w:hAnsi="Calibri" w:eastAsia="Calibri" w:cs="Calibri"/>
        <w:sz w:val="18"/>
        <w:szCs w:val="18"/>
      </w:rPr>
      <w:t>6</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0" w:lineRule="auto"/>
      <w:ind w:left="4129"/>
      <w:rPr>
        <w:rFonts w:ascii="Calibri" w:hAnsi="Calibri" w:eastAsia="Calibri" w:cs="Calibri"/>
        <w:sz w:val="18"/>
        <w:szCs w:val="18"/>
      </w:rPr>
    </w:pPr>
    <w:r>
      <w:rPr>
        <w:rFonts w:ascii="Calibri" w:hAnsi="Calibri" w:eastAsia="Calibri" w:cs="Calibri"/>
        <w:spacing w:val="-4"/>
        <w:sz w:val="18"/>
        <w:szCs w:val="18"/>
      </w:rPr>
      <w:t>10</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D31779"/>
    <w:rsid w:val="2FD31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semiHidden/>
    <w:unhideWhenUsed/>
    <w:qFormat/>
    <w:uiPriority w:val="99"/>
    <w:pPr>
      <w:spacing w:after="120" w:afterLines="0" w:afterAutospacing="0"/>
    </w:p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2023-04-21T07:47:00Z</dcterms:created>
  <dc:creator>Yang</dc:creator>
  <cp:lastModifiedBy>Yang</cp:lastModifiedBy>
  <dcterms:modified xsi:type="dcterms:W3CDTF">2023-04-21T07:49:01Z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2052-11.8.2.11739</vt:lpwstr>
  </property>
  <property fmtid="{D5CDD505-2E9C-101B-9397-08002B2CF9AE}" pid="3" name="ICV">
    <vt:lpwstr>3D64E5741CFF415E8F1696AB455D73F3</vt:lpwstr>
  </property>
</Properties>
</file>